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Vendor and Sub-processor Management Policy</w:t>
      </w:r>
    </w:p>
    <w:p>
      <w:r>
        <w:rPr>
          <w:i/>
          <w:sz w:val="22"/>
        </w:rPr>
        <w:t>Due diligence, contractual safeguards and ongoing oversight for third-party vendors and sub-processors.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Compliance Lead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vendors with access to production data or systems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Public sub-processor register</w:t>
      </w:r>
    </w:p>
    <w:p>
      <w:pPr>
        <w:pStyle w:val="ListBullet"/>
      </w:pPr>
      <w:r>
        <w:rPr>
          <w:sz w:val="22"/>
        </w:rPr>
        <w:t>DPA in place before production access</w:t>
      </w:r>
    </w:p>
    <w:p>
      <w:pPr>
        <w:pStyle w:val="ListBullet"/>
      </w:pPr>
      <w:r>
        <w:rPr>
          <w:sz w:val="22"/>
        </w:rPr>
        <w:t>Annual vendor risk review</w:t>
      </w:r>
    </w:p>
    <w:p>
      <w:r>
        <w:rPr>
          <w:rFonts w:ascii="Calibri" w:hAnsi="Calibri"/>
          <w:b/>
          <w:color w:val="1B1E2E"/>
          <w:sz w:val="28"/>
        </w:rPr>
        <w:t>1. Onboarding</w:t>
      </w:r>
    </w:p>
    <w:p>
      <w:pPr>
        <w:pStyle w:val="ListBullet"/>
      </w:pPr>
      <w:r>
        <w:rPr>
          <w:sz w:val="22"/>
        </w:rPr>
        <w:t>Security and privacy assessment before contract signature.</w:t>
      </w:r>
    </w:p>
    <w:p>
      <w:pPr>
        <w:pStyle w:val="ListBullet"/>
      </w:pPr>
      <w:r>
        <w:rPr>
          <w:sz w:val="22"/>
        </w:rPr>
        <w:t>DPA with Standard Contractual Clauses where personal data crosses borders.</w:t>
      </w:r>
    </w:p>
    <w:p>
      <w:pPr>
        <w:pStyle w:val="ListBullet"/>
      </w:pPr>
      <w:r>
        <w:rPr>
          <w:sz w:val="22"/>
        </w:rPr>
        <w:t>Named business owner for each vendor.</w:t>
      </w:r>
    </w:p>
    <w:p>
      <w:r>
        <w:rPr>
          <w:rFonts w:ascii="Calibri" w:hAnsi="Calibri"/>
          <w:b/>
          <w:color w:val="1B1E2E"/>
          <w:sz w:val="28"/>
        </w:rPr>
        <w:t>2. Current Sub-processors</w:t>
      </w:r>
    </w:p>
    <w:p>
      <w:pPr>
        <w:pStyle w:val="ListBullet"/>
      </w:pPr>
      <w:r>
        <w:rPr>
          <w:sz w:val="22"/>
        </w:rPr>
        <w:t>Lovable Cloud (Supabase) - hosting, database, auth, storage.</w:t>
      </w:r>
    </w:p>
    <w:p>
      <w:pPr>
        <w:pStyle w:val="ListBullet"/>
      </w:pPr>
      <w:r>
        <w:rPr>
          <w:sz w:val="22"/>
        </w:rPr>
        <w:t>TAS operator - KERI issuance and verification.</w:t>
      </w:r>
    </w:p>
    <w:p>
      <w:pPr>
        <w:pStyle w:val="ListBullet"/>
      </w:pPr>
      <w:r>
        <w:rPr>
          <w:sz w:val="22"/>
        </w:rPr>
        <w:t>Veraf.ai - KYB and AML screening.</w:t>
      </w:r>
    </w:p>
    <w:p>
      <w:pPr>
        <w:pStyle w:val="ListBullet"/>
      </w:pPr>
      <w:r>
        <w:rPr>
          <w:sz w:val="22"/>
        </w:rPr>
        <w:t>Payment gateway providers - configured per region in payment_gateways.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