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GOVERNANCE</w:t>
      </w:r>
    </w:p>
    <w:p>
      <w:r>
        <w:rPr>
          <w:rFonts w:ascii="Calibri" w:hAnsi="Calibri"/>
          <w:b/>
          <w:color w:val="1B1E2E"/>
          <w:sz w:val="44"/>
        </w:rPr>
        <w:t>Third-Party and Ecosystem Governance Policy</w:t>
      </w:r>
    </w:p>
    <w:p>
      <w:r>
        <w:rPr>
          <w:i/>
          <w:sz w:val="22"/>
        </w:rPr>
        <w:t>Rules for onboarding and governing external participants in the ImpactMiles ecosystem, including charities, corporate partners, community advisors and interoperating KERI networks.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Governance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Chief Trust Officer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Board of Directors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All third-party organisations onboarded to the platform</w:t>
      </w:r>
    </w:p>
    <w:p>
      <w:pPr>
        <w:pStyle w:val="ListBullet"/>
      </w:pPr>
      <w:r>
        <w:rPr>
          <w:sz w:val="22"/>
        </w:rPr>
        <w:t>Community advisory participants</w:t>
      </w:r>
    </w:p>
    <w:p>
      <w:pPr>
        <w:pStyle w:val="ListBullet"/>
      </w:pPr>
      <w:r>
        <w:rPr>
          <w:sz w:val="22"/>
        </w:rPr>
        <w:t>Interoperating KERI ecosystems and cross-signing arrangements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Admin verification and Veraf.ai gating on onboarding</w:t>
      </w:r>
    </w:p>
    <w:p>
      <w:pPr>
        <w:pStyle w:val="ListBullet"/>
      </w:pPr>
      <w:r>
        <w:rPr>
          <w:sz w:val="22"/>
        </w:rPr>
        <w:t>Written partnership agreements before any commercial engagement</w:t>
      </w:r>
    </w:p>
    <w:p>
      <w:pPr>
        <w:pStyle w:val="ListBullet"/>
      </w:pPr>
      <w:r>
        <w:rPr>
          <w:sz w:val="22"/>
        </w:rPr>
        <w:t>Interoperability agreements before any cross-ecosystem credential issuance</w:t>
      </w:r>
    </w:p>
    <w:p>
      <w:r>
        <w:rPr>
          <w:rFonts w:ascii="Calibri" w:hAnsi="Calibri"/>
          <w:b/>
          <w:color w:val="1B1E2E"/>
          <w:sz w:val="28"/>
        </w:rPr>
        <w:t>1. Charity Onboarding and Verification</w:t>
      </w:r>
    </w:p>
    <w:p>
      <w:r>
        <w:rPr>
          <w:sz w:val="22"/>
        </w:rPr>
        <w:t>Charities self-declare status during onboarding, upload registration and licence evidence and undergo admin verification. Higher trust tiers require additional evidence such as audited accounts or IRD s.88 status.</w:t>
      </w:r>
    </w:p>
    <w:p>
      <w:r>
        <w:rPr>
          <w:rFonts w:ascii="Calibri" w:hAnsi="Calibri"/>
          <w:b/>
          <w:color w:val="1B1E2E"/>
          <w:sz w:val="28"/>
        </w:rPr>
        <w:t>2. Corporate Partner Agreements</w:t>
      </w:r>
    </w:p>
    <w:p>
      <w:pPr>
        <w:pStyle w:val="ListBullet"/>
      </w:pPr>
      <w:r>
        <w:rPr>
          <w:sz w:val="22"/>
        </w:rPr>
        <w:t>Standard master agreement with data protection, brand use and anti-bribery clauses.</w:t>
      </w:r>
    </w:p>
    <w:p>
      <w:pPr>
        <w:pStyle w:val="ListBullet"/>
      </w:pPr>
      <w:r>
        <w:rPr>
          <w:sz w:val="22"/>
        </w:rPr>
        <w:t>Enhanced due diligence for partners in higher-risk sectors or jurisdictions.</w:t>
      </w:r>
    </w:p>
    <w:p>
      <w:pPr>
        <w:pStyle w:val="ListBullet"/>
      </w:pPr>
      <w:r>
        <w:rPr>
          <w:sz w:val="22"/>
        </w:rPr>
        <w:t>Annual relationship review and renewal.</w:t>
      </w:r>
    </w:p>
    <w:p>
      <w:r>
        <w:rPr>
          <w:rFonts w:ascii="Calibri" w:hAnsi="Calibri"/>
          <w:b/>
          <w:color w:val="1B1E2E"/>
          <w:sz w:val="28"/>
        </w:rPr>
        <w:t>3. Community and Participant Voice</w:t>
      </w:r>
    </w:p>
    <w:p>
      <w:pPr>
        <w:pStyle w:val="ListBullet"/>
      </w:pPr>
      <w:r>
        <w:rPr>
          <w:sz w:val="22"/>
        </w:rPr>
        <w:t>Structured feedback channels (surveys, town halls) at least twice per year.</w:t>
      </w:r>
    </w:p>
    <w:p>
      <w:pPr>
        <w:pStyle w:val="ListBullet"/>
      </w:pPr>
      <w:r>
        <w:rPr>
          <w:sz w:val="22"/>
        </w:rPr>
        <w:t>A rotating community advisory panel provides non-binding input on product and policy changes.</w:t>
      </w:r>
    </w:p>
    <w:p>
      <w:pPr>
        <w:pStyle w:val="ListBullet"/>
      </w:pPr>
      <w:r>
        <w:rPr>
          <w:sz w:val="22"/>
        </w:rPr>
        <w:t>Public roadmap items open for comment for at least 14 days before Board decision.</w:t>
      </w:r>
    </w:p>
    <w:p>
      <w:r>
        <w:rPr>
          <w:rFonts w:ascii="Calibri" w:hAnsi="Calibri"/>
          <w:b/>
          <w:color w:val="1B1E2E"/>
          <w:sz w:val="28"/>
        </w:rPr>
        <w:t>4. KERI Interoperability</w:t>
      </w:r>
    </w:p>
    <w:p>
      <w:pPr>
        <w:pStyle w:val="ListBullet"/>
      </w:pPr>
      <w:r>
        <w:rPr>
          <w:sz w:val="22"/>
        </w:rPr>
        <w:t>Interoperating ecosystems must publish a compatible verification specification.</w:t>
      </w:r>
    </w:p>
    <w:p>
      <w:pPr>
        <w:pStyle w:val="ListBullet"/>
      </w:pPr>
      <w:r>
        <w:rPr>
          <w:sz w:val="22"/>
        </w:rPr>
        <w:t>Cross-signing or credential re-issuance requires a written interoperability agreement and Trust and Verification Committee approval.</w:t>
      </w:r>
    </w:p>
    <w:p>
      <w:pPr>
        <w:pStyle w:val="ListBullet"/>
      </w:pPr>
      <w:r>
        <w:rPr>
          <w:sz w:val="22"/>
        </w:rPr>
        <w:t>Suspected compromise in a partner ecosystem triggers immediate isolation and dispute triage.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