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Sustainability and Environmental Policy</w:t>
      </w:r>
    </w:p>
    <w:p>
      <w:r>
        <w:rPr>
          <w:i/>
          <w:sz w:val="22"/>
        </w:rPr>
        <w:t>ImpactMiles' commitments to reduce the environmental footprint of its own operations and of the events, activities and rewards it facilitates.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CEO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ImpactMiles operations, procurement and vendor selection</w:t>
      </w:r>
    </w:p>
    <w:p>
      <w:pPr>
        <w:pStyle w:val="ListBullet"/>
      </w:pPr>
      <w:r>
        <w:rPr>
          <w:sz w:val="22"/>
        </w:rPr>
        <w:t>Charity events and participant activities facilitated by the platform</w:t>
      </w:r>
    </w:p>
    <w:p>
      <w:pPr>
        <w:pStyle w:val="ListBullet"/>
      </w:pPr>
      <w:r>
        <w:rPr>
          <w:sz w:val="22"/>
        </w:rPr>
        <w:t>Reward inventory and fulfilment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Vendor selection criteria include environmental disclosure</w:t>
      </w:r>
    </w:p>
    <w:p>
      <w:pPr>
        <w:pStyle w:val="ListBullet"/>
      </w:pPr>
      <w:r>
        <w:rPr>
          <w:sz w:val="22"/>
        </w:rPr>
        <w:t>Event templates prompt organisers to consider environmental impact</w:t>
      </w:r>
    </w:p>
    <w:p>
      <w:pPr>
        <w:pStyle w:val="ListBullet"/>
      </w:pPr>
      <w:r>
        <w:rPr>
          <w:sz w:val="22"/>
        </w:rPr>
        <w:t>Reward taxonomy flags physical goods for logistics impact review</w:t>
      </w:r>
    </w:p>
    <w:p>
      <w:r>
        <w:rPr>
          <w:rFonts w:ascii="Calibri" w:hAnsi="Calibri"/>
          <w:b/>
          <w:color w:val="1B1E2E"/>
          <w:sz w:val="28"/>
        </w:rPr>
        <w:t>1. Commitments</w:t>
      </w:r>
    </w:p>
    <w:p>
      <w:pPr>
        <w:pStyle w:val="ListBullet"/>
      </w:pPr>
      <w:r>
        <w:rPr>
          <w:sz w:val="22"/>
        </w:rPr>
        <w:t>Prefer digital-first participation and rewards where feasible.</w:t>
      </w:r>
    </w:p>
    <w:p>
      <w:pPr>
        <w:pStyle w:val="ListBullet"/>
      </w:pPr>
      <w:r>
        <w:rPr>
          <w:sz w:val="22"/>
        </w:rPr>
        <w:t>Encourage low-carbon transport and venue choices for physical events.</w:t>
      </w:r>
    </w:p>
    <w:p>
      <w:pPr>
        <w:pStyle w:val="ListBullet"/>
      </w:pPr>
      <w:r>
        <w:rPr>
          <w:sz w:val="22"/>
        </w:rPr>
        <w:t>Report the estimated environmental profile of large events in annual disclosures.</w:t>
      </w:r>
    </w:p>
    <w:p>
      <w:r>
        <w:rPr>
          <w:rFonts w:ascii="Calibri" w:hAnsi="Calibri"/>
          <w:b/>
          <w:color w:val="1B1E2E"/>
          <w:sz w:val="28"/>
        </w:rPr>
        <w:t>2. Operations</w:t>
      </w:r>
    </w:p>
    <w:p>
      <w:pPr>
        <w:pStyle w:val="ListBullet"/>
      </w:pPr>
      <w:r>
        <w:rPr>
          <w:sz w:val="22"/>
        </w:rPr>
        <w:t>Cloud infrastructure selected with published carbon commitments where practicable.</w:t>
      </w:r>
    </w:p>
    <w:p>
      <w:pPr>
        <w:pStyle w:val="ListBullet"/>
      </w:pPr>
      <w:r>
        <w:rPr>
          <w:sz w:val="22"/>
        </w:rPr>
        <w:t>Office and travel policies favour low-impact options.</w:t>
      </w:r>
    </w:p>
    <w:p>
      <w:pPr>
        <w:pStyle w:val="ListBullet"/>
      </w:pPr>
      <w:r>
        <w:rPr>
          <w:sz w:val="22"/>
        </w:rPr>
        <w:t>Suppliers assessed on environmental disclosure during vendor onboarding.</w:t>
      </w:r>
    </w:p>
    <w:p>
      <w:r>
        <w:rPr>
          <w:rFonts w:ascii="Calibri" w:hAnsi="Calibri"/>
          <w:b/>
          <w:color w:val="1B1E2E"/>
          <w:sz w:val="28"/>
        </w:rPr>
        <w:t>3. Review</w:t>
      </w:r>
    </w:p>
    <w:p>
      <w:r>
        <w:rPr>
          <w:sz w:val="22"/>
        </w:rPr>
        <w:t>Progress is reviewed annually by the Board and reported in the annual Transparency Report.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