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Legal and Regulatory Compliance Matrix</w:t>
      </w:r>
    </w:p>
    <w:p>
      <w:r>
        <w:rPr>
          <w:i/>
          <w:sz w:val="22"/>
        </w:rPr>
        <w:t>High-level mapping of ImpactMiles policies to applicable Hong Kong laws, key EU, UK and APAC regulations and relevant international standards.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General Counsel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jurisdictions in which ImpactMiles operates or has users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Policy owners maintain mapping evidence in the Governance CMS</w:t>
      </w:r>
    </w:p>
    <w:p>
      <w:pPr>
        <w:pStyle w:val="ListBullet"/>
      </w:pPr>
      <w:r>
        <w:rPr>
          <w:sz w:val="22"/>
        </w:rPr>
        <w:t>Legal review of policy amendments for regulatory impact</w:t>
      </w:r>
    </w:p>
    <w:p>
      <w:pPr>
        <w:pStyle w:val="ListBullet"/>
      </w:pPr>
      <w:r>
        <w:rPr>
          <w:sz w:val="22"/>
        </w:rPr>
        <w:t>External counsel engaged for material regulatory change</w:t>
      </w:r>
    </w:p>
    <w:p>
      <w:r>
        <w:rPr>
          <w:rFonts w:ascii="Calibri" w:hAnsi="Calibri"/>
          <w:b/>
          <w:color w:val="1B1E2E"/>
          <w:sz w:val="28"/>
        </w:rPr>
        <w:t>1. Hong Kong</w:t>
      </w:r>
    </w:p>
    <w:p>
      <w:pPr>
        <w:pStyle w:val="ListBullet"/>
      </w:pPr>
      <w:r>
        <w:rPr>
          <w:sz w:val="22"/>
        </w:rPr>
        <w:t>Personal Data (Privacy) Ordinance (Cap. 486) - Data Protection and Privacy Policy, Retention Schedule, DPIA Methodology, Cookies Policy.</w:t>
      </w:r>
    </w:p>
    <w:p>
      <w:pPr>
        <w:pStyle w:val="ListBullet"/>
      </w:pPr>
      <w:r>
        <w:rPr>
          <w:sz w:val="22"/>
        </w:rPr>
        <w:t>Companies Ordinance (Cap. 622) - Governance Charter, Audit and Reporting.</w:t>
      </w:r>
    </w:p>
    <w:p>
      <w:pPr>
        <w:pStyle w:val="ListBullet"/>
      </w:pPr>
      <w:r>
        <w:rPr>
          <w:sz w:val="22"/>
        </w:rPr>
        <w:t>Anti-Money Laundering and Counter-Terrorist Financing Ordinance (Cap. 615) - AML/CTF Policy.</w:t>
      </w:r>
    </w:p>
    <w:p>
      <w:pPr>
        <w:pStyle w:val="ListBullet"/>
      </w:pPr>
      <w:r>
        <w:rPr>
          <w:sz w:val="22"/>
        </w:rPr>
        <w:t>Prevention of Bribery Ordinance (Cap. 201) - Code of Conduct, Vendor Management.</w:t>
      </w:r>
    </w:p>
    <w:p>
      <w:pPr>
        <w:pStyle w:val="ListBullet"/>
      </w:pPr>
      <w:r>
        <w:rPr>
          <w:sz w:val="22"/>
        </w:rPr>
        <w:t>Inland Revenue Ordinance s.88 - Charity verification within Trust and Verification Policy.</w:t>
      </w:r>
    </w:p>
    <w:p>
      <w:r>
        <w:rPr>
          <w:rFonts w:ascii="Calibri" w:hAnsi="Calibri"/>
          <w:b/>
          <w:color w:val="1B1E2E"/>
          <w:sz w:val="28"/>
        </w:rPr>
        <w:t>2. European Union</w:t>
      </w:r>
    </w:p>
    <w:p>
      <w:pPr>
        <w:pStyle w:val="ListBullet"/>
      </w:pPr>
      <w:r>
        <w:rPr>
          <w:sz w:val="22"/>
        </w:rPr>
        <w:t>GDPR - Data Protection and Privacy Policy, Retention Schedule, DPIA, Incident Response, Vendor Management.</w:t>
      </w:r>
    </w:p>
    <w:p>
      <w:pPr>
        <w:pStyle w:val="ListBullet"/>
      </w:pPr>
      <w:r>
        <w:rPr>
          <w:sz w:val="22"/>
        </w:rPr>
        <w:t>Digital Services Act (DSA) - Fraud, Abuse and Misuse Policy; transparency reporting under Audit, Reporting and Transparency Policy.</w:t>
      </w:r>
    </w:p>
    <w:p>
      <w:pPr>
        <w:pStyle w:val="ListBullet"/>
      </w:pPr>
      <w:r>
        <w:rPr>
          <w:sz w:val="22"/>
        </w:rPr>
        <w:t>eIDAS - referenced for interoperability of trust services within the Trust and Verification Policy.</w:t>
      </w:r>
    </w:p>
    <w:p>
      <w:r>
        <w:rPr>
          <w:rFonts w:ascii="Calibri" w:hAnsi="Calibri"/>
          <w:b/>
          <w:color w:val="1B1E2E"/>
          <w:sz w:val="28"/>
        </w:rPr>
        <w:t>3. United Kingdom</w:t>
      </w:r>
    </w:p>
    <w:p>
      <w:pPr>
        <w:pStyle w:val="ListBullet"/>
      </w:pPr>
      <w:r>
        <w:rPr>
          <w:sz w:val="22"/>
        </w:rPr>
        <w:t>UK GDPR and Data Protection Act 2018 - Data Protection and Privacy Policy, Retention Schedule.</w:t>
      </w:r>
    </w:p>
    <w:p>
      <w:pPr>
        <w:pStyle w:val="ListBullet"/>
      </w:pPr>
      <w:r>
        <w:rPr>
          <w:sz w:val="22"/>
        </w:rPr>
        <w:t>Charities Act 2011 (as amended) - Charity onboarding, Trust and Verification, Third-Party and Ecosystem Governance.</w:t>
      </w:r>
    </w:p>
    <w:p>
      <w:pPr>
        <w:pStyle w:val="ListBullet"/>
      </w:pPr>
      <w:r>
        <w:rPr>
          <w:sz w:val="22"/>
        </w:rPr>
        <w:t>Bribery Act 2010 - Code of Conduct, Vendor Management.</w:t>
      </w:r>
    </w:p>
    <w:p>
      <w:r>
        <w:rPr>
          <w:rFonts w:ascii="Calibri" w:hAnsi="Calibri"/>
          <w:b/>
          <w:color w:val="1B1E2E"/>
          <w:sz w:val="28"/>
        </w:rPr>
        <w:t>4. Singapore and wider APAC</w:t>
      </w:r>
    </w:p>
    <w:p>
      <w:pPr>
        <w:pStyle w:val="ListBullet"/>
      </w:pPr>
      <w:r>
        <w:rPr>
          <w:sz w:val="22"/>
        </w:rPr>
        <w:t>Singapore Personal Data Protection Act (PDPA) - Data Protection and Privacy Policy, Incident Response (72-hour breach notification adapted to 3-day PDPC notifiable-breach rule).</w:t>
      </w:r>
    </w:p>
    <w:p>
      <w:pPr>
        <w:pStyle w:val="ListBullet"/>
      </w:pPr>
      <w:r>
        <w:rPr>
          <w:sz w:val="22"/>
        </w:rPr>
        <w:t>Australia Privacy Act 1988 (APPs) - Data Protection and Privacy Policy.</w:t>
      </w:r>
    </w:p>
    <w:p>
      <w:pPr>
        <w:pStyle w:val="ListBullet"/>
      </w:pPr>
      <w:r>
        <w:rPr>
          <w:sz w:val="22"/>
        </w:rPr>
        <w:t>Japan APPI - Data Protection and Privacy Policy, cross-border transfer safeguards.</w:t>
      </w:r>
    </w:p>
    <w:p>
      <w:pPr>
        <w:pStyle w:val="ListBullet"/>
      </w:pPr>
      <w:r>
        <w:rPr>
          <w:sz w:val="22"/>
        </w:rPr>
        <w:t>Wider APAC obligations tracked per country taxonomy and reviewed annually.</w:t>
      </w:r>
    </w:p>
    <w:p>
      <w:r>
        <w:rPr>
          <w:rFonts w:ascii="Calibri" w:hAnsi="Calibri"/>
          <w:b/>
          <w:color w:val="1B1E2E"/>
          <w:sz w:val="28"/>
        </w:rPr>
        <w:t>5. International Standards Referenced</w:t>
      </w:r>
    </w:p>
    <w:p>
      <w:pPr>
        <w:pStyle w:val="ListBullet"/>
      </w:pPr>
      <w:r>
        <w:rPr>
          <w:sz w:val="22"/>
        </w:rPr>
        <w:t>ISO/IEC 27001 - Information Security Policy control set.</w:t>
      </w:r>
    </w:p>
    <w:p>
      <w:pPr>
        <w:pStyle w:val="ListBullet"/>
      </w:pPr>
      <w:r>
        <w:rPr>
          <w:sz w:val="22"/>
        </w:rPr>
        <w:t>NIST CSF - Incident Response and Change Management alignment.</w:t>
      </w:r>
    </w:p>
    <w:p>
      <w:pPr>
        <w:pStyle w:val="ListBullet"/>
      </w:pPr>
      <w:r>
        <w:rPr>
          <w:sz w:val="22"/>
        </w:rPr>
        <w:t>OECD Guidelines for Multinational Enterprises - Sustainability, DEI, Third-Party governance.</w:t>
      </w:r>
    </w:p>
    <w:p>
      <w:pPr>
        <w:pStyle w:val="ListBullet"/>
      </w:pPr>
      <w:r>
        <w:rPr>
          <w:sz w:val="22"/>
        </w:rPr>
        <w:t>KERI and ACDC specifications - Trust and Verification, KERI Operations.</w:t>
      </w:r>
    </w:p>
    <w:p>
      <w:r>
        <w:rPr>
          <w:rFonts w:ascii="Calibri" w:hAnsi="Calibri"/>
          <w:b/>
          <w:color w:val="1B1E2E"/>
          <w:sz w:val="28"/>
        </w:rPr>
        <w:t>6. Maintenance</w:t>
      </w:r>
    </w:p>
    <w:p>
      <w:r>
        <w:rPr>
          <w:sz w:val="22"/>
        </w:rPr>
        <w:t>This matrix is a signposting document and does not replace legal advice. Policy owners must record mapping evidence and update this matrix when regulations change or a policy is materially amended.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