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TRUST &amp; VERIFICATION</w:t>
      </w:r>
    </w:p>
    <w:p>
      <w:r>
        <w:rPr>
          <w:rFonts w:ascii="Calibri" w:hAnsi="Calibri"/>
          <w:b/>
          <w:color w:val="1B1E2E"/>
          <w:sz w:val="44"/>
        </w:rPr>
        <w:t>KERI Operations and Key Management Policy</w:t>
      </w:r>
    </w:p>
    <w:p>
      <w:r>
        <w:rPr>
          <w:i/>
          <w:sz w:val="22"/>
        </w:rPr>
        <w:t>Key generation, rotation, custody and recovery rules for KERI AIDs operated by ImpactMiles.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Trust &amp; Verification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Chief Trust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Trust &amp; Verification Committee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Issuer AIDs</w:t>
      </w:r>
    </w:p>
    <w:p>
      <w:pPr>
        <w:pStyle w:val="ListBullet"/>
      </w:pPr>
      <w:r>
        <w:rPr>
          <w:sz w:val="22"/>
        </w:rPr>
        <w:t>Witness pool</w:t>
      </w:r>
    </w:p>
    <w:p>
      <w:pPr>
        <w:pStyle w:val="ListBullet"/>
      </w:pPr>
      <w:r>
        <w:rPr>
          <w:sz w:val="22"/>
        </w:rPr>
        <w:t>TAS operator credentials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TAS_API_KEY stored as a server secret, never client-side</w:t>
      </w:r>
    </w:p>
    <w:p>
      <w:pPr>
        <w:pStyle w:val="ListBullet"/>
      </w:pPr>
      <w:r>
        <w:rPr>
          <w:sz w:val="22"/>
        </w:rPr>
        <w:t>Rotation logged in the admin audit log</w:t>
      </w:r>
    </w:p>
    <w:p>
      <w:r>
        <w:rPr>
          <w:rFonts w:ascii="Calibri" w:hAnsi="Calibri"/>
          <w:b/>
          <w:color w:val="1B1E2E"/>
          <w:sz w:val="28"/>
        </w:rPr>
        <w:t>1. Custody</w:t>
      </w:r>
    </w:p>
    <w:p>
      <w:r>
        <w:rPr>
          <w:sz w:val="22"/>
        </w:rPr>
        <w:t>Issuer signing keys are held by the TAS operator under HSM-backed custody. ImpactMiles administrators hold delegated authority to trigger issuance but never possess signing material directly.</w:t>
      </w:r>
    </w:p>
    <w:p>
      <w:r>
        <w:rPr>
          <w:rFonts w:ascii="Calibri" w:hAnsi="Calibri"/>
          <w:b/>
          <w:color w:val="1B1E2E"/>
          <w:sz w:val="28"/>
        </w:rPr>
        <w:t>2. Rotation</w:t>
      </w:r>
    </w:p>
    <w:p>
      <w:pPr>
        <w:pStyle w:val="ListBullet"/>
      </w:pPr>
      <w:r>
        <w:rPr>
          <w:sz w:val="22"/>
        </w:rPr>
        <w:t>Scheduled rotation at least every 12 months.</w:t>
      </w:r>
    </w:p>
    <w:p>
      <w:pPr>
        <w:pStyle w:val="ListBullet"/>
      </w:pPr>
      <w:r>
        <w:rPr>
          <w:sz w:val="22"/>
        </w:rPr>
        <w:t>Immediate rotation on suspected compromise or personnel change.</w:t>
      </w:r>
    </w:p>
    <w:p>
      <w:pPr>
        <w:pStyle w:val="ListBullet"/>
      </w:pPr>
      <w:r>
        <w:rPr>
          <w:sz w:val="22"/>
        </w:rPr>
        <w:t>Every rotation event is anchored and referenced in the next issued credential.</w:t>
      </w:r>
    </w:p>
    <w:p>
      <w:r>
        <w:rPr>
          <w:rFonts w:ascii="Calibri" w:hAnsi="Calibri"/>
          <w:b/>
          <w:color w:val="1B1E2E"/>
          <w:sz w:val="28"/>
        </w:rPr>
        <w:t>3. Recovery</w:t>
      </w:r>
    </w:p>
    <w:p>
      <w:r>
        <w:rPr>
          <w:sz w:val="22"/>
        </w:rPr>
        <w:t>Multi-party recovery quorum documented in the operational runbook. Recovery drills conducted annually.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