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GOVERNANCE</w:t>
      </w:r>
    </w:p>
    <w:p>
      <w:r>
        <w:rPr>
          <w:rFonts w:ascii="Calibri" w:hAnsi="Calibri"/>
          <w:b/>
          <w:color w:val="1B1E2E"/>
          <w:sz w:val="44"/>
        </w:rPr>
        <w:t>Intellectual Property and Openness Policy</w:t>
      </w:r>
    </w:p>
    <w:p>
      <w:r>
        <w:rPr>
          <w:i/>
          <w:sz w:val="22"/>
        </w:rPr>
        <w:t>Ownership, licensing and openness rules for platform intellectual property, user-generated content, TrustMarks and ACDC credentials.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Governance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General Counsel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Board of Directors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Software, brand, documentation and content produced by ImpactMiles</w:t>
      </w:r>
    </w:p>
    <w:p>
      <w:pPr>
        <w:pStyle w:val="ListBullet"/>
      </w:pPr>
      <w:r>
        <w:rPr>
          <w:sz w:val="22"/>
        </w:rPr>
        <w:t>User submissions on the platform</w:t>
      </w:r>
    </w:p>
    <w:p>
      <w:pPr>
        <w:pStyle w:val="ListBullet"/>
      </w:pPr>
      <w:r>
        <w:rPr>
          <w:sz w:val="22"/>
        </w:rPr>
        <w:t>TrustMark and ACDC artefacts issued by ImpactMiles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Terms of Use content licence grant</w:t>
      </w:r>
    </w:p>
    <w:p>
      <w:pPr>
        <w:pStyle w:val="ListBullet"/>
      </w:pPr>
      <w:r>
        <w:rPr>
          <w:sz w:val="22"/>
        </w:rPr>
        <w:t>Attribution requirements on public TrustMark badges</w:t>
      </w:r>
    </w:p>
    <w:p>
      <w:pPr>
        <w:pStyle w:val="ListBullet"/>
      </w:pPr>
      <w:r>
        <w:rPr>
          <w:sz w:val="22"/>
        </w:rPr>
        <w:t>Open specification for the TrustMark verification API</w:t>
      </w:r>
    </w:p>
    <w:p>
      <w:r>
        <w:rPr>
          <w:rFonts w:ascii="Calibri" w:hAnsi="Calibri"/>
          <w:b/>
          <w:color w:val="1B1E2E"/>
          <w:sz w:val="28"/>
        </w:rPr>
        <w:t>1. Platform IP</w:t>
      </w:r>
    </w:p>
    <w:p>
      <w:r>
        <w:rPr>
          <w:sz w:val="22"/>
        </w:rPr>
        <w:t>All software, brand assets, documentation and generated content produced by ImpactMiles are owned by ImpactMiles Limited unless otherwise stated. Open-source components are used under their respective licences.</w:t>
      </w:r>
    </w:p>
    <w:p>
      <w:r>
        <w:rPr>
          <w:rFonts w:ascii="Calibri" w:hAnsi="Calibri"/>
          <w:b/>
          <w:color w:val="1B1E2E"/>
          <w:sz w:val="28"/>
        </w:rPr>
        <w:t>2. User-Generated Content</w:t>
      </w:r>
    </w:p>
    <w:p>
      <w:r>
        <w:rPr>
          <w:sz w:val="22"/>
        </w:rPr>
        <w:t>Users retain ownership of the content they submit and grant ImpactMiles a limited, worldwide, royalty-free licence to host, process and display it for the purpose of operating the platform, computing IMI and issuing verifiable credentials.</w:t>
      </w:r>
    </w:p>
    <w:p>
      <w:r>
        <w:rPr>
          <w:rFonts w:ascii="Calibri" w:hAnsi="Calibri"/>
          <w:b/>
          <w:color w:val="1B1E2E"/>
          <w:sz w:val="28"/>
        </w:rPr>
        <w:t>3. TrustMark and ACDC Licensing</w:t>
      </w:r>
    </w:p>
    <w:p>
      <w:pPr>
        <w:pStyle w:val="ListBullet"/>
      </w:pPr>
      <w:r>
        <w:rPr>
          <w:sz w:val="22"/>
        </w:rPr>
        <w:t>TrustMark badges and verification API responses are made freely available for third-party verification and citation, with attribution to ImpactMiles.</w:t>
      </w:r>
    </w:p>
    <w:p>
      <w:pPr>
        <w:pStyle w:val="ListBullet"/>
      </w:pPr>
      <w:r>
        <w:rPr>
          <w:sz w:val="22"/>
        </w:rPr>
        <w:t>Bulk export of TrustMark data for competitive re-use is not permitted without written agreement.</w:t>
      </w:r>
    </w:p>
    <w:p>
      <w:pPr>
        <w:pStyle w:val="ListBullet"/>
      </w:pPr>
      <w:r>
        <w:rPr>
          <w:sz w:val="22"/>
        </w:rPr>
        <w:t>The TrustMark verification specification is published as an open document.</w:t>
      </w:r>
    </w:p>
    <w:p>
      <w:r>
        <w:rPr>
          <w:rFonts w:ascii="Calibri" w:hAnsi="Calibri"/>
          <w:b/>
          <w:color w:val="1B1E2E"/>
          <w:sz w:val="28"/>
        </w:rPr>
        <w:t>4. Openness Commitments</w:t>
      </w:r>
    </w:p>
    <w:p>
      <w:r>
        <w:rPr>
          <w:sz w:val="22"/>
        </w:rPr>
        <w:t>ImpactMiles publishes its governance framework, IMI methodology and public sub-processor register. Selected client libraries and reference verifiers may be released under an OSI-approved licence as the platform matures.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