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Information Security Policy</w:t>
      </w:r>
    </w:p>
    <w:p>
      <w:r>
        <w:rPr>
          <w:i/>
          <w:sz w:val="22"/>
        </w:rPr>
        <w:t>Baseline security controls covering identity, network, application, data and supply chain.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Head of Security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ImpactMiles systems</w:t>
      </w:r>
    </w:p>
    <w:p>
      <w:pPr>
        <w:pStyle w:val="ListBullet"/>
      </w:pPr>
      <w:r>
        <w:rPr>
          <w:sz w:val="22"/>
        </w:rPr>
        <w:t>All staff and contractors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RLS on every public schema table</w:t>
      </w:r>
    </w:p>
    <w:p>
      <w:pPr>
        <w:pStyle w:val="ListBullet"/>
      </w:pPr>
      <w:r>
        <w:rPr>
          <w:sz w:val="22"/>
        </w:rPr>
        <w:t>Server-only secrets (TAS, Veraf, service role) never shipped to client</w:t>
      </w:r>
    </w:p>
    <w:p>
      <w:pPr>
        <w:pStyle w:val="ListBullet"/>
      </w:pPr>
      <w:r>
        <w:rPr>
          <w:sz w:val="22"/>
        </w:rPr>
        <w:t>Signed webhooks for all inbound public endpoints</w:t>
      </w:r>
    </w:p>
    <w:p>
      <w:r>
        <w:rPr>
          <w:rFonts w:ascii="Calibri" w:hAnsi="Calibri"/>
          <w:b/>
          <w:color w:val="1B1E2E"/>
          <w:sz w:val="28"/>
        </w:rPr>
        <w:t>1. Identity and Access</w:t>
      </w:r>
    </w:p>
    <w:p>
      <w:pPr>
        <w:pStyle w:val="ListBullet"/>
      </w:pPr>
      <w:r>
        <w:rPr>
          <w:sz w:val="22"/>
        </w:rPr>
        <w:t>SSO with MFA required for all staff.</w:t>
      </w:r>
    </w:p>
    <w:p>
      <w:pPr>
        <w:pStyle w:val="ListBullet"/>
      </w:pPr>
      <w:r>
        <w:rPr>
          <w:sz w:val="22"/>
        </w:rPr>
        <w:t>Least privilege by role.</w:t>
      </w:r>
    </w:p>
    <w:p>
      <w:pPr>
        <w:pStyle w:val="ListBullet"/>
      </w:pPr>
      <w:r>
        <w:rPr>
          <w:sz w:val="22"/>
        </w:rPr>
        <w:t>Quarterly access reviews.</w:t>
      </w:r>
    </w:p>
    <w:p>
      <w:r>
        <w:rPr>
          <w:rFonts w:ascii="Calibri" w:hAnsi="Calibri"/>
          <w:b/>
          <w:color w:val="1B1E2E"/>
          <w:sz w:val="28"/>
        </w:rPr>
        <w:t>2. Application Security</w:t>
      </w:r>
    </w:p>
    <w:p>
      <w:pPr>
        <w:pStyle w:val="ListBullet"/>
      </w:pPr>
      <w:r>
        <w:rPr>
          <w:sz w:val="22"/>
        </w:rPr>
        <w:t>Server functions authorised via requireSupabaseAuth and role checks.</w:t>
      </w:r>
    </w:p>
    <w:p>
      <w:pPr>
        <w:pStyle w:val="ListBullet"/>
      </w:pPr>
      <w:r>
        <w:rPr>
          <w:sz w:val="22"/>
        </w:rPr>
        <w:t>Dependency scanning on every build.</w:t>
      </w:r>
    </w:p>
    <w:p>
      <w:pPr>
        <w:pStyle w:val="ListBullet"/>
      </w:pPr>
      <w:r>
        <w:rPr>
          <w:sz w:val="22"/>
        </w:rPr>
        <w:t>Annual third-party penetration test.</w:t>
      </w:r>
    </w:p>
    <w:p>
      <w:r>
        <w:rPr>
          <w:rFonts w:ascii="Calibri" w:hAnsi="Calibri"/>
          <w:b/>
          <w:color w:val="1B1E2E"/>
          <w:sz w:val="28"/>
        </w:rPr>
        <w:t>3. Data Security</w:t>
      </w:r>
    </w:p>
    <w:p>
      <w:pPr>
        <w:pStyle w:val="ListBullet"/>
      </w:pPr>
      <w:r>
        <w:rPr>
          <w:sz w:val="22"/>
        </w:rPr>
        <w:t>Encryption in transit (TLS 1.2+) and at rest.</w:t>
      </w:r>
    </w:p>
    <w:p>
      <w:pPr>
        <w:pStyle w:val="ListBullet"/>
      </w:pPr>
      <w:r>
        <w:rPr>
          <w:sz w:val="22"/>
        </w:rPr>
        <w:t>Private storage bucket for KYB/licence evidence.</w:t>
      </w:r>
    </w:p>
    <w:p>
      <w:pPr>
        <w:pStyle w:val="ListBullet"/>
      </w:pPr>
      <w:r>
        <w:rPr>
          <w:sz w:val="22"/>
        </w:rPr>
        <w:t>Row Level Security enforced on all user-facing tables.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