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PLATFORM OPERATIONS</w:t>
      </w:r>
    </w:p>
    <w:p>
      <w:r>
        <w:rPr>
          <w:rFonts w:ascii="Calibri" w:hAnsi="Calibri"/>
          <w:b/>
          <w:color w:val="1B1E2E"/>
          <w:sz w:val="44"/>
        </w:rPr>
        <w:t>Incident Response and Breach Notification Policy</w:t>
      </w:r>
    </w:p>
    <w:p>
      <w:r>
        <w:rPr>
          <w:i/>
          <w:sz w:val="22"/>
        </w:rPr>
        <w:t>How ImpactMiles detects, classifies, contains and reports security and privacy incidents.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Platform Operations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Head of Security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Trustees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systems and data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On-call rotation and paging</w:t>
      </w:r>
    </w:p>
    <w:p>
      <w:pPr>
        <w:pStyle w:val="ListBullet"/>
      </w:pPr>
      <w:r>
        <w:rPr>
          <w:sz w:val="22"/>
        </w:rPr>
        <w:t>Incident register and post-mortem template</w:t>
      </w:r>
    </w:p>
    <w:p>
      <w:pPr>
        <w:pStyle w:val="ListBullet"/>
      </w:pPr>
      <w:r>
        <w:rPr>
          <w:sz w:val="22"/>
        </w:rPr>
        <w:t>Regulator notification workflow within statutory deadlines</w:t>
      </w:r>
    </w:p>
    <w:p>
      <w:r>
        <w:rPr>
          <w:rFonts w:ascii="Calibri" w:hAnsi="Calibri"/>
          <w:b/>
          <w:color w:val="1B1E2E"/>
          <w:sz w:val="28"/>
        </w:rPr>
        <w:t>1. Classification</w:t>
      </w:r>
    </w:p>
    <w:p>
      <w:pPr>
        <w:pStyle w:val="ListBullet"/>
      </w:pPr>
      <w:r>
        <w:rPr>
          <w:sz w:val="22"/>
        </w:rPr>
        <w:t>SEV1 - confirmed breach of personal data or funds; regulator notification likely.</w:t>
      </w:r>
    </w:p>
    <w:p>
      <w:pPr>
        <w:pStyle w:val="ListBullet"/>
      </w:pPr>
      <w:r>
        <w:rPr>
          <w:sz w:val="22"/>
        </w:rPr>
        <w:t>SEV2 - service outage affecting core flows for &gt;30 minutes.</w:t>
      </w:r>
    </w:p>
    <w:p>
      <w:pPr>
        <w:pStyle w:val="ListBullet"/>
      </w:pPr>
      <w:r>
        <w:rPr>
          <w:sz w:val="22"/>
        </w:rPr>
        <w:t>SEV3 - degraded experience with workaround.</w:t>
      </w:r>
    </w:p>
    <w:p>
      <w:r>
        <w:rPr>
          <w:rFonts w:ascii="Calibri" w:hAnsi="Calibri"/>
          <w:b/>
          <w:color w:val="1B1E2E"/>
          <w:sz w:val="28"/>
        </w:rPr>
        <w:t>2. Notification</w:t>
      </w:r>
    </w:p>
    <w:p>
      <w:pPr>
        <w:pStyle w:val="ListBullet"/>
      </w:pPr>
      <w:r>
        <w:rPr>
          <w:sz w:val="22"/>
        </w:rPr>
        <w:t>GDPR / UK GDPR: regulator within 72 hours; data subjects without undue delay when high risk.</w:t>
      </w:r>
    </w:p>
    <w:p>
      <w:pPr>
        <w:pStyle w:val="ListBullet"/>
      </w:pPr>
      <w:r>
        <w:rPr>
          <w:sz w:val="22"/>
        </w:rPr>
        <w:t>PDPO: PCPD notified as soon as practicable for material breaches.</w:t>
      </w:r>
    </w:p>
    <w:p>
      <w:pPr>
        <w:pStyle w:val="ListBullet"/>
      </w:pPr>
      <w:r>
        <w:rPr>
          <w:sz w:val="22"/>
        </w:rPr>
        <w:t>PDPA (SG): PDPC notified within 3 calendar days for notifiable data breaches.</w:t>
      </w:r>
    </w:p>
    <w:p>
      <w:r>
        <w:rPr>
          <w:rFonts w:ascii="Calibri" w:hAnsi="Calibri"/>
          <w:b/>
          <w:color w:val="1B1E2E"/>
          <w:sz w:val="28"/>
        </w:rPr>
        <w:t>3. Post-mortem</w:t>
      </w:r>
    </w:p>
    <w:p>
      <w:r>
        <w:rPr>
          <w:sz w:val="22"/>
        </w:rPr>
        <w:t>Blameless post-mortem within 10 business days. Actions tracked to closure. Summary published where public interest justifies.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