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/>
          <w:b/>
          <w:color w:val="3D998A"/>
          <w:sz w:val="18"/>
        </w:rPr>
        <w:t>FINANCIAL &amp; ANTI-FRAUD</w:t>
      </w:r>
    </w:p>
    <w:p>
      <w:r>
        <w:rPr>
          <w:rFonts w:ascii="Calibri" w:hAnsi="Calibri"/>
          <w:b/>
          <w:color w:val="1B1E2E"/>
          <w:sz w:val="44"/>
        </w:rPr>
        <w:t>Fee Transparency and Disbursement Policy</w:t>
      </w:r>
    </w:p>
    <w:p>
      <w:r>
        <w:rPr>
          <w:i/>
          <w:sz w:val="22"/>
        </w:rPr>
        <w:t>How platform fees are calculated, disclosed and disbursed, and how donors can trace every deduction.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Domain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Financial &amp; Anti-Fraud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Version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v1.0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Effective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Last reviewed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Next review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2027-07-19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Owner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CFO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Approver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Board of Trustees</w:t>
            </w:r>
          </w:p>
        </w:tc>
      </w:tr>
    </w:tbl>
    <w:p/>
    <w:p>
      <w:r>
        <w:rPr>
          <w:rFonts w:ascii="Calibri" w:hAnsi="Calibri"/>
          <w:b/>
          <w:color w:val="1B1E2E"/>
          <w:sz w:val="26"/>
        </w:rPr>
        <w:t>Applies to</w:t>
      </w:r>
    </w:p>
    <w:p>
      <w:pPr>
        <w:pStyle w:val="ListBullet"/>
      </w:pPr>
      <w:r>
        <w:rPr>
          <w:sz w:val="22"/>
        </w:rPr>
        <w:t>All monetary flows</w:t>
      </w:r>
    </w:p>
    <w:p>
      <w:pPr>
        <w:pStyle w:val="ListBullet"/>
      </w:pPr>
      <w:r>
        <w:rPr>
          <w:sz w:val="22"/>
        </w:rPr>
        <w:t>Fee settlement records</w:t>
      </w:r>
    </w:p>
    <w:p>
      <w:r>
        <w:rPr>
          <w:rFonts w:ascii="Calibri" w:hAnsi="Calibri"/>
          <w:b/>
          <w:color w:val="1B1E2E"/>
          <w:sz w:val="26"/>
        </w:rPr>
        <w:t>Jurisdictions</w:t>
      </w:r>
    </w:p>
    <w:p>
      <w:pPr>
        <w:pStyle w:val="ListBullet"/>
      </w:pPr>
      <w:r>
        <w:rPr>
          <w:sz w:val="22"/>
        </w:rPr>
        <w:t>Hong Kong (PDPO, IRD s.88)</w:t>
      </w:r>
    </w:p>
    <w:p>
      <w:pPr>
        <w:pStyle w:val="ListBullet"/>
      </w:pPr>
      <w:r>
        <w:rPr>
          <w:sz w:val="22"/>
        </w:rPr>
        <w:t>United Kingdom (UK GDPR, DPA 2018)</w:t>
      </w:r>
    </w:p>
    <w:p>
      <w:pPr>
        <w:pStyle w:val="ListBullet"/>
      </w:pPr>
      <w:r>
        <w:rPr>
          <w:sz w:val="22"/>
        </w:rPr>
        <w:t>European Union (GDPR)</w:t>
      </w:r>
    </w:p>
    <w:p>
      <w:pPr>
        <w:pStyle w:val="ListBullet"/>
      </w:pPr>
      <w:r>
        <w:rPr>
          <w:sz w:val="22"/>
        </w:rPr>
        <w:t>Singapore (PDPA)</w:t>
      </w:r>
    </w:p>
    <w:p>
      <w:pPr>
        <w:pStyle w:val="ListBullet"/>
      </w:pPr>
      <w:r>
        <w:rPr>
          <w:sz w:val="22"/>
        </w:rPr>
        <w:t>Australia (Privacy Act 1988)</w:t>
      </w:r>
    </w:p>
    <w:p>
      <w:pPr>
        <w:pStyle w:val="ListBullet"/>
      </w:pPr>
      <w:r>
        <w:rPr>
          <w:sz w:val="22"/>
        </w:rPr>
        <w:t>Japan (APPI)</w:t>
      </w:r>
    </w:p>
    <w:p>
      <w:pPr>
        <w:pStyle w:val="ListBullet"/>
      </w:pPr>
      <w:r>
        <w:rPr>
          <w:sz w:val="22"/>
        </w:rPr>
        <w:t>Wider APAC per country taxonomy</w:t>
      </w:r>
    </w:p>
    <w:p>
      <w:r>
        <w:rPr>
          <w:rFonts w:ascii="Calibri" w:hAnsi="Calibri"/>
          <w:b/>
          <w:color w:val="1B1E2E"/>
          <w:sz w:val="26"/>
        </w:rPr>
        <w:t>How this is applied in-product</w:t>
      </w:r>
    </w:p>
    <w:p>
      <w:pPr>
        <w:pStyle w:val="ListBullet"/>
      </w:pPr>
      <w:r>
        <w:rPr>
          <w:sz w:val="22"/>
        </w:rPr>
        <w:t>fee_settlements table with per-transaction breakdown</w:t>
      </w:r>
    </w:p>
    <w:p>
      <w:pPr>
        <w:pStyle w:val="ListBullet"/>
      </w:pPr>
      <w:r>
        <w:rPr>
          <w:sz w:val="22"/>
        </w:rPr>
        <w:t>Public settlement credentials issued as ACDCs</w:t>
      </w:r>
    </w:p>
    <w:p>
      <w:pPr>
        <w:pStyle w:val="ListBullet"/>
      </w:pPr>
      <w:r>
        <w:rPr>
          <w:sz w:val="22"/>
        </w:rPr>
        <w:t>Donor receipts show gross, fee and net disbursed amounts</w:t>
      </w:r>
    </w:p>
    <w:p>
      <w:r>
        <w:rPr>
          <w:rFonts w:ascii="Calibri" w:hAnsi="Calibri"/>
          <w:b/>
          <w:color w:val="1B1E2E"/>
          <w:sz w:val="28"/>
        </w:rPr>
        <w:t>1. Fee Schedule</w:t>
      </w:r>
    </w:p>
    <w:p>
      <w:r>
        <w:rPr>
          <w:sz w:val="22"/>
        </w:rPr>
        <w:t>The current fee schedule is published on the /governance portal and version-controlled. Any change requires 30 days' notice to Sponsors and Cause Partners.</w:t>
      </w:r>
    </w:p>
    <w:p>
      <w:r>
        <w:rPr>
          <w:rFonts w:ascii="Calibri" w:hAnsi="Calibri"/>
          <w:b/>
          <w:color w:val="1B1E2E"/>
          <w:sz w:val="28"/>
        </w:rPr>
        <w:t>2. Disbursement</w:t>
      </w:r>
    </w:p>
    <w:p>
      <w:pPr>
        <w:pStyle w:val="ListBullet"/>
      </w:pPr>
      <w:r>
        <w:rPr>
          <w:sz w:val="22"/>
        </w:rPr>
        <w:t>Net amounts are disbursed to the Cause Partner within 5 business days of settled funds.</w:t>
      </w:r>
    </w:p>
    <w:p>
      <w:pPr>
        <w:pStyle w:val="ListBullet"/>
      </w:pPr>
      <w:r>
        <w:rPr>
          <w:sz w:val="22"/>
        </w:rPr>
        <w:t>Delayed disbursements trigger an incident record and donor notification.</w:t>
      </w:r>
    </w:p>
    <w:p>
      <w:pPr>
        <w:pStyle w:val="ListBullet"/>
      </w:pPr>
      <w:r>
        <w:rPr>
          <w:sz w:val="22"/>
        </w:rPr>
        <w:t>Every disbursement is anchored as a FeeSettlementACDC referenced from the donor's provenance trail.</w:t>
      </w:r>
    </w:p>
    <w:p>
      <w:r>
        <w:rPr>
          <w:rFonts w:ascii="Calibri" w:hAnsi="Calibri"/>
          <w:b/>
          <w:color w:val="1B1E2E"/>
          <w:sz w:val="28"/>
        </w:rPr>
        <w:t>3. Audit</w:t>
      </w:r>
    </w:p>
    <w:p>
      <w:r>
        <w:rPr>
          <w:sz w:val="22"/>
        </w:rPr>
        <w:t>Annual independent audit of fee accounting. Findings and management responses summarised on the /governance portal.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