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TRUST &amp; VERIFICATION</w:t>
      </w:r>
    </w:p>
    <w:p>
      <w:r>
        <w:rPr>
          <w:rFonts w:ascii="Calibri" w:hAnsi="Calibri"/>
          <w:b/>
          <w:color w:val="1B1E2E"/>
          <w:sz w:val="44"/>
        </w:rPr>
        <w:t>ESG and Impact Measurement Governance</w:t>
      </w:r>
    </w:p>
    <w:p>
      <w:r>
        <w:rPr>
          <w:i/>
          <w:sz w:val="22"/>
        </w:rPr>
        <w:t>Methodology, data sourcing and assurance for the Impact Miles Index (IMI) and any ESG claims made by ImpactMiles or its Sponsors, designed to prevent greenwashing and impact washing.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Trust &amp; Verification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Chief Trust Officer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Technology and Trust Committee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IMI calculations and public displays</w:t>
      </w:r>
    </w:p>
    <w:p>
      <w:pPr>
        <w:pStyle w:val="ListBullet"/>
      </w:pPr>
      <w:r>
        <w:rPr>
          <w:sz w:val="22"/>
        </w:rPr>
        <w:t>Sponsor and Charity impact claims routed through the platform</w:t>
      </w:r>
    </w:p>
    <w:p>
      <w:pPr>
        <w:pStyle w:val="ListBullet"/>
      </w:pPr>
      <w:r>
        <w:rPr>
          <w:sz w:val="22"/>
        </w:rPr>
        <w:t>External reports and marketing collateral referencing impact metrics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Deterministic IMI computation from ACDC-anchored evidence</w:t>
      </w:r>
    </w:p>
    <w:p>
      <w:pPr>
        <w:pStyle w:val="ListBullet"/>
      </w:pPr>
      <w:r>
        <w:rPr>
          <w:sz w:val="22"/>
        </w:rPr>
        <w:t>Signal weights published on /trust and version-controlled here</w:t>
      </w:r>
    </w:p>
    <w:p>
      <w:pPr>
        <w:pStyle w:val="ListBullet"/>
      </w:pPr>
      <w:r>
        <w:rPr>
          <w:sz w:val="22"/>
        </w:rPr>
        <w:t>Independent annual review of the IMI methodology</w:t>
      </w:r>
    </w:p>
    <w:p>
      <w:pPr>
        <w:pStyle w:val="ListBullet"/>
      </w:pPr>
      <w:r>
        <w:rPr>
          <w:sz w:val="22"/>
        </w:rPr>
        <w:t>Rejection of unverifiable ESG claims in Sponsor onboarding</w:t>
      </w:r>
    </w:p>
    <w:p>
      <w:r>
        <w:rPr>
          <w:rFonts w:ascii="Calibri" w:hAnsi="Calibri"/>
          <w:b/>
          <w:color w:val="1B1E2E"/>
          <w:sz w:val="28"/>
        </w:rPr>
        <w:t>1. IMI Signals and Weights</w:t>
      </w:r>
    </w:p>
    <w:p>
      <w:pPr>
        <w:pStyle w:val="ListBullet"/>
      </w:pPr>
      <w:r>
        <w:rPr>
          <w:sz w:val="22"/>
        </w:rPr>
        <w:t>Volume - number and value of verified actions, drawn from acdc_credentials.</w:t>
      </w:r>
    </w:p>
    <w:p>
      <w:pPr>
        <w:pStyle w:val="ListBullet"/>
      </w:pPr>
      <w:r>
        <w:rPr>
          <w:sz w:val="22"/>
        </w:rPr>
        <w:t>Inclusion - diversity of participants and beneficiaries by taxonomy tags.</w:t>
      </w:r>
    </w:p>
    <w:p>
      <w:pPr>
        <w:pStyle w:val="ListBullet"/>
      </w:pPr>
      <w:r>
        <w:rPr>
          <w:sz w:val="22"/>
        </w:rPr>
        <w:t>Retention - repeat participation across periods.</w:t>
      </w:r>
    </w:p>
    <w:p>
      <w:pPr>
        <w:pStyle w:val="ListBullet"/>
      </w:pPr>
      <w:r>
        <w:rPr>
          <w:sz w:val="22"/>
        </w:rPr>
        <w:t>Reach - verified downstream engagement with capped weighting to discourage vanity metrics.</w:t>
      </w:r>
    </w:p>
    <w:p>
      <w:pPr>
        <w:pStyle w:val="ListBullet"/>
      </w:pPr>
      <w:r>
        <w:rPr>
          <w:sz w:val="22"/>
        </w:rPr>
        <w:t>Weights are published, version-controlled and changed only by Board-approved amendment.</w:t>
      </w:r>
    </w:p>
    <w:p>
      <w:r>
        <w:rPr>
          <w:rFonts w:ascii="Calibri" w:hAnsi="Calibri"/>
          <w:b/>
          <w:color w:val="1B1E2E"/>
          <w:sz w:val="28"/>
        </w:rPr>
        <w:t>2. Data Sources and Validation</w:t>
      </w:r>
    </w:p>
    <w:p>
      <w:pPr>
        <w:pStyle w:val="ListBullet"/>
      </w:pPr>
      <w:r>
        <w:rPr>
          <w:sz w:val="22"/>
        </w:rPr>
        <w:t>Primary source: KERI-anchored ACDC evidence with SAID chain integrity.</w:t>
      </w:r>
    </w:p>
    <w:p>
      <w:pPr>
        <w:pStyle w:val="ListBullet"/>
      </w:pPr>
      <w:r>
        <w:rPr>
          <w:sz w:val="22"/>
        </w:rPr>
        <w:t>Secondary source: platform records reconciled quarterly against the TAS ledger.</w:t>
      </w:r>
    </w:p>
    <w:p>
      <w:pPr>
        <w:pStyle w:val="ListBullet"/>
      </w:pPr>
      <w:r>
        <w:rPr>
          <w:sz w:val="22"/>
        </w:rPr>
        <w:t>Manual overrides require two-person approval and a rationale entered in the audit log.</w:t>
      </w:r>
    </w:p>
    <w:p>
      <w:r>
        <w:rPr>
          <w:rFonts w:ascii="Calibri" w:hAnsi="Calibri"/>
          <w:b/>
          <w:color w:val="1B1E2E"/>
          <w:sz w:val="28"/>
        </w:rPr>
        <w:t>3. Assurance</w:t>
      </w:r>
    </w:p>
    <w:p>
      <w:r>
        <w:rPr>
          <w:sz w:val="22"/>
        </w:rPr>
        <w:t>Annual independent review of the IMI methodology and a sample audit of published claims. Findings and management responses are summarised in the annual Transparency Report.</w:t>
      </w:r>
    </w:p>
    <w:p>
      <w:r>
        <w:rPr>
          <w:rFonts w:ascii="Calibri" w:hAnsi="Calibri"/>
          <w:b/>
          <w:color w:val="1B1E2E"/>
          <w:sz w:val="28"/>
        </w:rPr>
        <w:t>4. Greenwashing and Impact-Washing Controls</w:t>
      </w:r>
    </w:p>
    <w:p>
      <w:pPr>
        <w:pStyle w:val="ListBullet"/>
      </w:pPr>
      <w:r>
        <w:rPr>
          <w:sz w:val="22"/>
        </w:rPr>
        <w:t>Sponsors may only publish impact claims that reference an anchored SAID.</w:t>
      </w:r>
    </w:p>
    <w:p>
      <w:pPr>
        <w:pStyle w:val="ListBullet"/>
      </w:pPr>
      <w:r>
        <w:rPr>
          <w:sz w:val="22"/>
        </w:rPr>
        <w:t>Aggregate claims must disclose the underlying methodology and time period.</w:t>
      </w:r>
    </w:p>
    <w:p>
      <w:pPr>
        <w:pStyle w:val="ListBullet"/>
      </w:pPr>
      <w:r>
        <w:rPr>
          <w:sz w:val="22"/>
        </w:rPr>
        <w:t>Comparative language ("leading", "largest") requires evidence retained on file.</w:t>
      </w:r>
    </w:p>
    <w:p>
      <w:r>
        <w:rPr>
          <w:rFonts w:ascii="Calibri" w:hAnsi="Calibri"/>
          <w:b/>
          <w:color w:val="1B1E2E"/>
          <w:sz w:val="28"/>
        </w:rPr>
        <w:t>5. Change Control</w:t>
      </w:r>
    </w:p>
    <w:p>
      <w:r>
        <w:rPr>
          <w:sz w:val="22"/>
        </w:rPr>
        <w:t>Material changes to signals, weights or definitions require Board approval and are announced at least 30 days before taking effect.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