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DATA &amp; PRIVACY</w:t>
      </w:r>
    </w:p>
    <w:p>
      <w:r>
        <w:rPr>
          <w:rFonts w:ascii="Calibri" w:hAnsi="Calibri"/>
          <w:b/>
          <w:color w:val="1B1E2E"/>
          <w:sz w:val="44"/>
        </w:rPr>
        <w:t>Data Protection Impact Assessment (DPIA) Methodology</w:t>
      </w:r>
    </w:p>
    <w:p>
      <w:r>
        <w:rPr>
          <w:i/>
          <w:sz w:val="22"/>
        </w:rPr>
        <w:t>When and how ImpactMiles conducts DPIAs, including the templated risk register and Board approval gate.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Data &amp; Privacy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Data Protection Officer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Trustees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Any new or materially changed processing activity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Change management gate: no launch without DPO sign-off for triggering changes</w:t>
      </w:r>
    </w:p>
    <w:p>
      <w:r>
        <w:rPr>
          <w:rFonts w:ascii="Calibri" w:hAnsi="Calibri"/>
          <w:b/>
          <w:color w:val="1B1E2E"/>
          <w:sz w:val="28"/>
        </w:rPr>
        <w:t>1. Triggers</w:t>
      </w:r>
    </w:p>
    <w:p>
      <w:pPr>
        <w:pStyle w:val="ListBullet"/>
      </w:pPr>
      <w:r>
        <w:rPr>
          <w:sz w:val="22"/>
        </w:rPr>
        <w:t>Processing of special-category or biometric data.</w:t>
      </w:r>
    </w:p>
    <w:p>
      <w:pPr>
        <w:pStyle w:val="ListBullet"/>
      </w:pPr>
      <w:r>
        <w:rPr>
          <w:sz w:val="22"/>
        </w:rPr>
        <w:t>Large-scale profiling or automated decision-making.</w:t>
      </w:r>
    </w:p>
    <w:p>
      <w:pPr>
        <w:pStyle w:val="ListBullet"/>
      </w:pPr>
      <w:r>
        <w:rPr>
          <w:sz w:val="22"/>
        </w:rPr>
        <w:t>New cross-border transfer route.</w:t>
      </w:r>
    </w:p>
    <w:p>
      <w:pPr>
        <w:pStyle w:val="ListBullet"/>
      </w:pPr>
      <w:r>
        <w:rPr>
          <w:sz w:val="22"/>
        </w:rPr>
        <w:t>New sub-processor with access to personal data.</w:t>
      </w:r>
    </w:p>
    <w:p>
      <w:pPr>
        <w:pStyle w:val="ListBullet"/>
      </w:pPr>
      <w:r>
        <w:rPr>
          <w:sz w:val="22"/>
        </w:rPr>
        <w:t>Any AI feature that ingests personal data.</w:t>
      </w:r>
    </w:p>
    <w:p>
      <w:r>
        <w:rPr>
          <w:rFonts w:ascii="Calibri" w:hAnsi="Calibri"/>
          <w:b/>
          <w:color w:val="1B1E2E"/>
          <w:sz w:val="28"/>
        </w:rPr>
        <w:t>2. Method</w:t>
      </w:r>
    </w:p>
    <w:p>
      <w:r>
        <w:rPr>
          <w:sz w:val="22"/>
        </w:rPr>
        <w:t>Describe the processing, assess necessity and proportionality, identify risks to individuals, define mitigations, record residual risk. High residual risk requires Board approval and, where required, regulator consultation.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