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Dispute Resolution and Grievance Policy</w:t>
      </w:r>
    </w:p>
    <w:p>
      <w:r>
        <w:rPr>
          <w:i/>
          <w:sz w:val="22"/>
        </w:rPr>
        <w:t>Mechanisms for participants, charities and corporate partners to raise complaints, contest disputed impact milestones, resolve token redemption issues and challenge KERI-related revocations, aligned with Hong Kong law.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Ethics and Compliance Committee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platform users (participants, charities, corporates)</w:t>
      </w:r>
    </w:p>
    <w:p>
      <w:pPr>
        <w:pStyle w:val="ListBullet"/>
      </w:pPr>
      <w:r>
        <w:rPr>
          <w:sz w:val="22"/>
        </w:rPr>
        <w:t>Employees, contractors and third parties raising a grievance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Public complaint intake at /privacy and via direct contact</w:t>
      </w:r>
    </w:p>
    <w:p>
      <w:pPr>
        <w:pStyle w:val="ListBullet"/>
      </w:pPr>
      <w:r>
        <w:rPr>
          <w:sz w:val="22"/>
        </w:rPr>
        <w:t>Trust and Verification Committee triage of credential disputes</w:t>
      </w:r>
    </w:p>
    <w:p>
      <w:pPr>
        <w:pStyle w:val="ListBullet"/>
      </w:pPr>
      <w:r>
        <w:rPr>
          <w:sz w:val="22"/>
        </w:rPr>
        <w:t>Escalation timers tracked in the admin console</w:t>
      </w:r>
    </w:p>
    <w:p>
      <w:pPr>
        <w:pStyle w:val="ListBullet"/>
      </w:pPr>
      <w:r>
        <w:rPr>
          <w:sz w:val="22"/>
        </w:rPr>
        <w:t>Arbitration clauses in Sponsor and Charity master agreements</w:t>
      </w:r>
    </w:p>
    <w:p>
      <w:r>
        <w:rPr>
          <w:rFonts w:ascii="Calibri" w:hAnsi="Calibri"/>
          <w:b/>
          <w:color w:val="1B1E2E"/>
          <w:sz w:val="28"/>
        </w:rPr>
        <w:t>1. Scope of Disputes</w:t>
      </w:r>
    </w:p>
    <w:p>
      <w:pPr>
        <w:pStyle w:val="ListBullet"/>
      </w:pPr>
      <w:r>
        <w:rPr>
          <w:sz w:val="22"/>
        </w:rPr>
        <w:t>Impact disputes - contested milestones, verified action evidence, or IMI attribution.</w:t>
      </w:r>
    </w:p>
    <w:p>
      <w:pPr>
        <w:pStyle w:val="ListBullet"/>
      </w:pPr>
      <w:r>
        <w:rPr>
          <w:sz w:val="22"/>
        </w:rPr>
        <w:t>Token and reward disputes - redemption failures, incorrect balances, expired tokens.</w:t>
      </w:r>
    </w:p>
    <w:p>
      <w:pPr>
        <w:pStyle w:val="ListBullet"/>
      </w:pPr>
      <w:r>
        <w:rPr>
          <w:sz w:val="22"/>
        </w:rPr>
        <w:t>Verification disputes - revoked or refused TrustMark credentials, Trust Index changes.</w:t>
      </w:r>
    </w:p>
    <w:p>
      <w:pPr>
        <w:pStyle w:val="ListBullet"/>
      </w:pPr>
      <w:r>
        <w:rPr>
          <w:sz w:val="22"/>
        </w:rPr>
        <w:t>Commercial disputes - fee application, disbursement delays, sponsorship performance.</w:t>
      </w:r>
    </w:p>
    <w:p>
      <w:pPr>
        <w:pStyle w:val="ListBullet"/>
      </w:pPr>
      <w:r>
        <w:rPr>
          <w:sz w:val="22"/>
        </w:rPr>
        <w:t>Conduct disputes - alleged breaches of the Code of Conduct or discrimination.</w:t>
      </w:r>
    </w:p>
    <w:p>
      <w:r>
        <w:rPr>
          <w:rFonts w:ascii="Calibri" w:hAnsi="Calibri"/>
          <w:b/>
          <w:color w:val="1B1E2E"/>
          <w:sz w:val="28"/>
        </w:rPr>
        <w:t>2. Escalation Path</w:t>
      </w:r>
    </w:p>
    <w:p>
      <w:pPr>
        <w:pStyle w:val="ListBullet"/>
      </w:pPr>
      <w:r>
        <w:rPr>
          <w:sz w:val="22"/>
        </w:rPr>
        <w:t>Tier 1 - Support: acknowledged within 1 business day, resolved within 5 where possible.</w:t>
      </w:r>
    </w:p>
    <w:p>
      <w:pPr>
        <w:pStyle w:val="ListBullet"/>
      </w:pPr>
      <w:r>
        <w:rPr>
          <w:sz w:val="22"/>
        </w:rPr>
        <w:t>Tier 2 - Trust and Safety review: for evidence, credential or IMI disputes, resolved within 10 business days.</w:t>
      </w:r>
    </w:p>
    <w:p>
      <w:pPr>
        <w:pStyle w:val="ListBullet"/>
      </w:pPr>
      <w:r>
        <w:rPr>
          <w:sz w:val="22"/>
        </w:rPr>
        <w:t>Tier 3 - Ethics and Compliance Committee: for unresolved matters or conduct complaints, resolved within 20 business days.</w:t>
      </w:r>
    </w:p>
    <w:p>
      <w:pPr>
        <w:pStyle w:val="ListBullet"/>
      </w:pPr>
      <w:r>
        <w:rPr>
          <w:sz w:val="22"/>
        </w:rPr>
        <w:t>Tier 4 - External mediation, then arbitration administered by HKIAC under the HKIAC Administered Arbitration Rules where contracts permit.</w:t>
      </w:r>
    </w:p>
    <w:p>
      <w:r>
        <w:rPr>
          <w:rFonts w:ascii="Calibri" w:hAnsi="Calibri"/>
          <w:b/>
          <w:color w:val="1B1E2E"/>
          <w:sz w:val="28"/>
        </w:rPr>
        <w:t>3. Appeals</w:t>
      </w:r>
    </w:p>
    <w:p>
      <w:r>
        <w:rPr>
          <w:sz w:val="22"/>
        </w:rPr>
        <w:t>Any decision by the Trust and Verification Committee (including revocation) may be appealed in writing within 20 business days. Appeals are heard by a panel that excludes the original decision-maker.</w:t>
      </w:r>
    </w:p>
    <w:p>
      <w:r>
        <w:rPr>
          <w:rFonts w:ascii="Calibri" w:hAnsi="Calibri"/>
          <w:b/>
          <w:color w:val="1B1E2E"/>
          <w:sz w:val="28"/>
        </w:rPr>
        <w:t>4. Whistleblowing and Retaliation</w:t>
      </w:r>
    </w:p>
    <w:p>
      <w:r>
        <w:rPr>
          <w:sz w:val="22"/>
        </w:rPr>
        <w:t>Concerns may be raised confidentially via the Ethics and Compliance Committee. Retaliation against a good-faith reporter is a breach of the Code of Conduct and grounds for dismissal or termination.</w:t>
      </w:r>
    </w:p>
    <w:p>
      <w:r>
        <w:rPr>
          <w:rFonts w:ascii="Calibri" w:hAnsi="Calibri"/>
          <w:b/>
          <w:color w:val="1B1E2E"/>
          <w:sz w:val="28"/>
        </w:rPr>
        <w:t>5. Records</w:t>
      </w:r>
    </w:p>
    <w:p>
      <w:r>
        <w:rPr>
          <w:sz w:val="22"/>
        </w:rPr>
        <w:t>All disputes and their outcomes are logged. Aggregate statistics are reported to the Board quarterly and summarised in the annual Transparency Report.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