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/>
          <w:b/>
          <w:color w:val="3D998A"/>
          <w:sz w:val="18"/>
        </w:rPr>
        <w:t>GOVERNANCE</w:t>
      </w:r>
    </w:p>
    <w:p>
      <w:r>
        <w:rPr>
          <w:rFonts w:ascii="Calibri" w:hAnsi="Calibri"/>
          <w:b/>
          <w:color w:val="1B1E2E"/>
          <w:sz w:val="44"/>
        </w:rPr>
        <w:t>Diversity, Equity and Inclusion Policy</w:t>
      </w:r>
    </w:p>
    <w:p>
      <w:r>
        <w:rPr>
          <w:i/>
          <w:sz w:val="22"/>
        </w:rPr>
        <w:t>Commitments to diversity, equity and inclusion across the ImpactMiles workforce, its Board and the communities it serves through the platform.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Domain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Governance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Version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v1.0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Effective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Last reviewed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2026-07-19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Next review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2027-07-19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Owner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Ethics and Compliance Committee</w:t>
            </w:r>
          </w:p>
        </w:tc>
      </w:tr>
      <w:tr>
        <w:tc>
          <w:tcPr>
            <w:tcW w:type="dxa" w:w="4680"/>
          </w:tcPr>
          <w:p>
            <w:r>
              <w:rPr>
                <w:b/>
                <w:color w:val="1B1E2E"/>
                <w:sz w:val="20"/>
              </w:rPr>
              <w:t>Approver</w:t>
            </w:r>
          </w:p>
        </w:tc>
        <w:tc>
          <w:tcPr>
            <w:tcW w:type="dxa" w:w="4680"/>
          </w:tcPr>
          <w:p>
            <w:r>
              <w:rPr>
                <w:sz w:val="20"/>
              </w:rPr>
              <w:t>Board of Directors</w:t>
            </w:r>
          </w:p>
        </w:tc>
      </w:tr>
    </w:tbl>
    <w:p/>
    <w:p>
      <w:r>
        <w:rPr>
          <w:rFonts w:ascii="Calibri" w:hAnsi="Calibri"/>
          <w:b/>
          <w:color w:val="1B1E2E"/>
          <w:sz w:val="26"/>
        </w:rPr>
        <w:t>Applies to</w:t>
      </w:r>
    </w:p>
    <w:p>
      <w:pPr>
        <w:pStyle w:val="ListBullet"/>
      </w:pPr>
      <w:r>
        <w:rPr>
          <w:sz w:val="22"/>
        </w:rPr>
        <w:t>All ImpactMiles staff and contractors</w:t>
      </w:r>
    </w:p>
    <w:p>
      <w:pPr>
        <w:pStyle w:val="ListBullet"/>
      </w:pPr>
      <w:r>
        <w:rPr>
          <w:sz w:val="22"/>
        </w:rPr>
        <w:t>Board and committee composition</w:t>
      </w:r>
    </w:p>
    <w:p>
      <w:pPr>
        <w:pStyle w:val="ListBullet"/>
      </w:pPr>
      <w:r>
        <w:rPr>
          <w:sz w:val="22"/>
        </w:rPr>
        <w:t>Programme design and participant experience</w:t>
      </w:r>
    </w:p>
    <w:p>
      <w:r>
        <w:rPr>
          <w:rFonts w:ascii="Calibri" w:hAnsi="Calibri"/>
          <w:b/>
          <w:color w:val="1B1E2E"/>
          <w:sz w:val="26"/>
        </w:rPr>
        <w:t>Jurisdictions</w:t>
      </w:r>
    </w:p>
    <w:p>
      <w:pPr>
        <w:pStyle w:val="ListBullet"/>
      </w:pPr>
      <w:r>
        <w:rPr>
          <w:sz w:val="22"/>
        </w:rPr>
        <w:t>Hong Kong (PDPO, IRD s.88)</w:t>
      </w:r>
    </w:p>
    <w:p>
      <w:pPr>
        <w:pStyle w:val="ListBullet"/>
      </w:pPr>
      <w:r>
        <w:rPr>
          <w:sz w:val="22"/>
        </w:rPr>
        <w:t>United Kingdom (UK GDPR, DPA 2018)</w:t>
      </w:r>
    </w:p>
    <w:p>
      <w:pPr>
        <w:pStyle w:val="ListBullet"/>
      </w:pPr>
      <w:r>
        <w:rPr>
          <w:sz w:val="22"/>
        </w:rPr>
        <w:t>European Union (GDPR)</w:t>
      </w:r>
    </w:p>
    <w:p>
      <w:pPr>
        <w:pStyle w:val="ListBullet"/>
      </w:pPr>
      <w:r>
        <w:rPr>
          <w:sz w:val="22"/>
        </w:rPr>
        <w:t>Singapore (PDPA)</w:t>
      </w:r>
    </w:p>
    <w:p>
      <w:pPr>
        <w:pStyle w:val="ListBullet"/>
      </w:pPr>
      <w:r>
        <w:rPr>
          <w:sz w:val="22"/>
        </w:rPr>
        <w:t>Australia (Privacy Act 1988)</w:t>
      </w:r>
    </w:p>
    <w:p>
      <w:pPr>
        <w:pStyle w:val="ListBullet"/>
      </w:pPr>
      <w:r>
        <w:rPr>
          <w:sz w:val="22"/>
        </w:rPr>
        <w:t>Japan (APPI)</w:t>
      </w:r>
    </w:p>
    <w:p>
      <w:pPr>
        <w:pStyle w:val="ListBullet"/>
      </w:pPr>
      <w:r>
        <w:rPr>
          <w:sz w:val="22"/>
        </w:rPr>
        <w:t>Wider APAC per country taxonomy</w:t>
      </w:r>
    </w:p>
    <w:p>
      <w:r>
        <w:rPr>
          <w:rFonts w:ascii="Calibri" w:hAnsi="Calibri"/>
          <w:b/>
          <w:color w:val="1B1E2E"/>
          <w:sz w:val="26"/>
        </w:rPr>
        <w:t>How this is applied in-product</w:t>
      </w:r>
    </w:p>
    <w:p>
      <w:pPr>
        <w:pStyle w:val="ListBullet"/>
      </w:pPr>
      <w:r>
        <w:rPr>
          <w:sz w:val="22"/>
        </w:rPr>
        <w:t>Inclusive recruitment and progression practices</w:t>
      </w:r>
    </w:p>
    <w:p>
      <w:pPr>
        <w:pStyle w:val="ListBullet"/>
      </w:pPr>
      <w:r>
        <w:rPr>
          <w:sz w:val="22"/>
        </w:rPr>
        <w:t>Accessibility standards in product design (WCAG 2.2 AA target)</w:t>
      </w:r>
    </w:p>
    <w:p>
      <w:pPr>
        <w:pStyle w:val="ListBullet"/>
      </w:pPr>
      <w:r>
        <w:rPr>
          <w:sz w:val="22"/>
        </w:rPr>
        <w:t>Inclusion metric within the IMI signal set</w:t>
      </w:r>
    </w:p>
    <w:p>
      <w:r>
        <w:rPr>
          <w:rFonts w:ascii="Calibri" w:hAnsi="Calibri"/>
          <w:b/>
          <w:color w:val="1B1E2E"/>
          <w:sz w:val="28"/>
        </w:rPr>
        <w:t>1. Principles</w:t>
      </w:r>
    </w:p>
    <w:p>
      <w:pPr>
        <w:pStyle w:val="ListBullet"/>
      </w:pPr>
      <w:r>
        <w:rPr>
          <w:sz w:val="22"/>
        </w:rPr>
        <w:t>Equal opportunity regardless of race, gender, age, disability, sexuality, religion or socio-economic background.</w:t>
      </w:r>
    </w:p>
    <w:p>
      <w:pPr>
        <w:pStyle w:val="ListBullet"/>
      </w:pPr>
      <w:r>
        <w:rPr>
          <w:sz w:val="22"/>
        </w:rPr>
        <w:t>Inclusion by design in the product and in every community activity.</w:t>
      </w:r>
    </w:p>
    <w:p>
      <w:pPr>
        <w:pStyle w:val="ListBullet"/>
      </w:pPr>
      <w:r>
        <w:rPr>
          <w:sz w:val="22"/>
        </w:rPr>
        <w:t>Barrier-free participation for users with disabilities.</w:t>
      </w:r>
    </w:p>
    <w:p>
      <w:r>
        <w:rPr>
          <w:rFonts w:ascii="Calibri" w:hAnsi="Calibri"/>
          <w:b/>
          <w:color w:val="1B1E2E"/>
          <w:sz w:val="28"/>
        </w:rPr>
        <w:t>2. Workforce and Board</w:t>
      </w:r>
    </w:p>
    <w:p>
      <w:pPr>
        <w:pStyle w:val="ListBullet"/>
      </w:pPr>
      <w:r>
        <w:rPr>
          <w:sz w:val="22"/>
        </w:rPr>
        <w:t>Inclusive hiring practices, transparent pay bands and structured progression reviews.</w:t>
      </w:r>
    </w:p>
    <w:p>
      <w:pPr>
        <w:pStyle w:val="ListBullet"/>
      </w:pPr>
      <w:r>
        <w:rPr>
          <w:sz w:val="22"/>
        </w:rPr>
        <w:t>Board composition reviewed annually against diversity targets.</w:t>
      </w:r>
    </w:p>
    <w:p>
      <w:pPr>
        <w:pStyle w:val="ListBullet"/>
      </w:pPr>
      <w:r>
        <w:rPr>
          <w:sz w:val="22"/>
        </w:rPr>
        <w:t>Mandatory anti-harassment and inclusion training.</w:t>
      </w:r>
    </w:p>
    <w:p>
      <w:r>
        <w:rPr>
          <w:rFonts w:ascii="Calibri" w:hAnsi="Calibri"/>
          <w:b/>
          <w:color w:val="1B1E2E"/>
          <w:sz w:val="28"/>
        </w:rPr>
        <w:t>3. Programme Impact</w:t>
      </w:r>
    </w:p>
    <w:p>
      <w:r>
        <w:rPr>
          <w:sz w:val="22"/>
        </w:rPr>
        <w:t>The IMI Inclusion signal measures diversity of participants and beneficiaries, published in aggregate on the /trust page and audited under the ESG and Impact Measurement Governance policy.</w:t>
      </w:r>
    </w:p>
    <w:p>
      <w:r>
        <w:rPr>
          <w:rFonts w:ascii="Calibri" w:hAnsi="Calibri"/>
          <w:b/>
          <w:color w:val="1B1E2E"/>
          <w:sz w:val="28"/>
        </w:rPr>
        <w:t>4. Reporting</w:t>
      </w:r>
    </w:p>
    <w:p>
      <w:r>
        <w:rPr>
          <w:sz w:val="22"/>
        </w:rPr>
        <w:t>Annual DEI report summarising workforce composition (aggregate, non-identifying), pay equity, complaint volumes and actions taken.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