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DATA &amp; PRIVACY</w:t>
      </w:r>
    </w:p>
    <w:p>
      <w:r>
        <w:rPr>
          <w:rFonts w:ascii="Calibri" w:hAnsi="Calibri"/>
          <w:b/>
          <w:color w:val="1B1E2E"/>
          <w:sz w:val="44"/>
        </w:rPr>
        <w:t>Data Retention and Deletion Schedule</w:t>
      </w:r>
    </w:p>
    <w:p>
      <w:r>
        <w:rPr>
          <w:i/>
          <w:sz w:val="22"/>
        </w:rPr>
        <w:t>Retention periods, deletion triggers and archival rules for each category of data held by ImpactMiles.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Data &amp; Privacy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Data Protection Officer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Executive Team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data stores</w:t>
      </w:r>
    </w:p>
    <w:p>
      <w:pPr>
        <w:pStyle w:val="ListBullet"/>
      </w:pPr>
      <w:r>
        <w:rPr>
          <w:sz w:val="22"/>
        </w:rPr>
        <w:t>Backups and audit logs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Scheduled deletion jobs for expired records</w:t>
      </w:r>
    </w:p>
    <w:p>
      <w:pPr>
        <w:pStyle w:val="ListBullet"/>
      </w:pPr>
      <w:r>
        <w:rPr>
          <w:sz w:val="22"/>
        </w:rPr>
        <w:t>Public retention statement at /privacy</w:t>
      </w:r>
    </w:p>
    <w:p>
      <w:pPr>
        <w:pStyle w:val="ListBullet"/>
      </w:pPr>
      <w:r>
        <w:rPr>
          <w:sz w:val="22"/>
        </w:rPr>
        <w:t>Immutable KERI credentials retained by design; PII never anchored</w:t>
      </w:r>
    </w:p>
    <w:p>
      <w:r>
        <w:rPr>
          <w:rFonts w:ascii="Calibri" w:hAnsi="Calibri"/>
          <w:b/>
          <w:color w:val="1B1E2E"/>
          <w:sz w:val="28"/>
        </w:rPr>
        <w:t>1. Retention Table</w:t>
      </w:r>
    </w:p>
    <w:p>
      <w:pPr>
        <w:pStyle w:val="ListBullet"/>
      </w:pPr>
      <w:r>
        <w:rPr>
          <w:sz w:val="22"/>
        </w:rPr>
        <w:t>Account profile - retained while account is active plus 24 months after closure, then anonymised.</w:t>
      </w:r>
    </w:p>
    <w:p>
      <w:pPr>
        <w:pStyle w:val="ListBullet"/>
      </w:pPr>
      <w:r>
        <w:rPr>
          <w:sz w:val="22"/>
        </w:rPr>
        <w:t>Donation records - 7 years after the tax year of receipt (IRD, HMRC, IRAS compatible).</w:t>
      </w:r>
    </w:p>
    <w:p>
      <w:pPr>
        <w:pStyle w:val="ListBullet"/>
      </w:pPr>
      <w:r>
        <w:rPr>
          <w:sz w:val="22"/>
        </w:rPr>
        <w:t>AML/KYB evidence - 5 years after the end of the business relationship.</w:t>
      </w:r>
    </w:p>
    <w:p>
      <w:pPr>
        <w:pStyle w:val="ListBullet"/>
      </w:pPr>
      <w:r>
        <w:rPr>
          <w:sz w:val="22"/>
        </w:rPr>
        <w:t>Audit logs - 3 years, then aggregated and pseudonymised.</w:t>
      </w:r>
    </w:p>
    <w:p>
      <w:pPr>
        <w:pStyle w:val="ListBullet"/>
      </w:pPr>
      <w:r>
        <w:rPr>
          <w:sz w:val="22"/>
        </w:rPr>
        <w:t>Support tickets - 2 years.</w:t>
      </w:r>
    </w:p>
    <w:p>
      <w:pPr>
        <w:pStyle w:val="ListBullet"/>
      </w:pPr>
      <w:r>
        <w:rPr>
          <w:sz w:val="22"/>
        </w:rPr>
        <w:t>Marketing consents - until withdrawn plus 12 months evidentiary window.</w:t>
      </w:r>
    </w:p>
    <w:p>
      <w:pPr>
        <w:pStyle w:val="ListBullet"/>
      </w:pPr>
      <w:r>
        <w:rPr>
          <w:sz w:val="22"/>
        </w:rPr>
        <w:t>KERI credentials (ACDCs) - retained indefinitely as tamper-evident public artefacts; contain no personal data.</w:t>
      </w:r>
    </w:p>
    <w:p>
      <w:r>
        <w:rPr>
          <w:rFonts w:ascii="Calibri" w:hAnsi="Calibri"/>
          <w:b/>
          <w:color w:val="1B1E2E"/>
          <w:sz w:val="28"/>
        </w:rPr>
        <w:t>2. Deletion Triggers</w:t>
      </w:r>
    </w:p>
    <w:p>
      <w:pPr>
        <w:pStyle w:val="ListBullet"/>
      </w:pPr>
      <w:r>
        <w:rPr>
          <w:sz w:val="22"/>
        </w:rPr>
        <w:t>User-initiated erasure request via /privacy.</w:t>
      </w:r>
    </w:p>
    <w:p>
      <w:pPr>
        <w:pStyle w:val="ListBullet"/>
      </w:pPr>
      <w:r>
        <w:rPr>
          <w:sz w:val="22"/>
        </w:rPr>
        <w:t>Retention period expiry via scheduled job.</w:t>
      </w:r>
    </w:p>
    <w:p>
      <w:pPr>
        <w:pStyle w:val="ListBullet"/>
      </w:pPr>
      <w:r>
        <w:rPr>
          <w:sz w:val="22"/>
        </w:rPr>
        <w:t>Legal or regulatory hold overrides deletion until the hold is lifted.</w:t>
      </w:r>
    </w:p>
    <w:p>
      <w:r>
        <w:rPr>
          <w:rFonts w:ascii="Calibri" w:hAnsi="Calibri"/>
          <w:b/>
          <w:color w:val="1B1E2E"/>
          <w:sz w:val="28"/>
        </w:rPr>
        <w:t>3. Backups</w:t>
      </w:r>
    </w:p>
    <w:p>
      <w:r>
        <w:rPr>
          <w:sz w:val="22"/>
        </w:rPr>
        <w:t>Encrypted backups are retained for 35 days on a rolling basis. Deletion requests are honoured in production immediately and in backups within the standard rotation window.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