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/>
          <w:b/>
          <w:color w:val="3D998A"/>
          <w:sz w:val="18"/>
        </w:rPr>
        <w:t>DATA &amp; PRIVACY</w:t>
      </w:r>
    </w:p>
    <w:p>
      <w:r>
        <w:rPr>
          <w:rFonts w:ascii="Calibri" w:hAnsi="Calibri"/>
          <w:b/>
          <w:color w:val="1B1E2E"/>
          <w:sz w:val="44"/>
        </w:rPr>
        <w:t>Data Protection and Privacy Policy</w:t>
      </w:r>
    </w:p>
    <w:p>
      <w:r>
        <w:rPr>
          <w:i/>
          <w:sz w:val="22"/>
        </w:rPr>
        <w:t>How ImpactMiles collects, uses, shares and protects personal data across all jurisdictions in which it operates.</w:t>
      </w:r>
    </w:p>
    <w:tbl>
      <w:tblPr>
        <w:tblW w:type="auto" w:w="0"/>
        <w:tblLayout w:type="autofit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Domain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Data &amp; Privacy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Version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v1.0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Effective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2026-07-19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Last reviewed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2026-07-19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Next review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2027-07-19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Owner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Data Protection Officer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Approver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Board of Trustees</w:t>
            </w:r>
          </w:p>
        </w:tc>
      </w:tr>
    </w:tbl>
    <w:p/>
    <w:p>
      <w:r>
        <w:rPr>
          <w:rFonts w:ascii="Calibri" w:hAnsi="Calibri"/>
          <w:b/>
          <w:color w:val="1B1E2E"/>
          <w:sz w:val="26"/>
        </w:rPr>
        <w:t>Applies to</w:t>
      </w:r>
    </w:p>
    <w:p>
      <w:pPr>
        <w:pStyle w:val="ListBullet"/>
      </w:pPr>
      <w:r>
        <w:rPr>
          <w:sz w:val="22"/>
        </w:rPr>
        <w:t>All personal data processed by ImpactMiles</w:t>
      </w:r>
    </w:p>
    <w:p>
      <w:pPr>
        <w:pStyle w:val="ListBullet"/>
      </w:pPr>
      <w:r>
        <w:rPr>
          <w:sz w:val="22"/>
        </w:rPr>
        <w:t>All staff and processors</w:t>
      </w:r>
    </w:p>
    <w:p>
      <w:r>
        <w:rPr>
          <w:rFonts w:ascii="Calibri" w:hAnsi="Calibri"/>
          <w:b/>
          <w:color w:val="1B1E2E"/>
          <w:sz w:val="26"/>
        </w:rPr>
        <w:t>Jurisdictions</w:t>
      </w:r>
    </w:p>
    <w:p>
      <w:pPr>
        <w:pStyle w:val="ListBullet"/>
      </w:pPr>
      <w:r>
        <w:rPr>
          <w:sz w:val="22"/>
        </w:rPr>
        <w:t>Hong Kong (PDPO, IRD s.88)</w:t>
      </w:r>
    </w:p>
    <w:p>
      <w:pPr>
        <w:pStyle w:val="ListBullet"/>
      </w:pPr>
      <w:r>
        <w:rPr>
          <w:sz w:val="22"/>
        </w:rPr>
        <w:t>United Kingdom (UK GDPR, DPA 2018)</w:t>
      </w:r>
    </w:p>
    <w:p>
      <w:pPr>
        <w:pStyle w:val="ListBullet"/>
      </w:pPr>
      <w:r>
        <w:rPr>
          <w:sz w:val="22"/>
        </w:rPr>
        <w:t>European Union (GDPR)</w:t>
      </w:r>
    </w:p>
    <w:p>
      <w:pPr>
        <w:pStyle w:val="ListBullet"/>
      </w:pPr>
      <w:r>
        <w:rPr>
          <w:sz w:val="22"/>
        </w:rPr>
        <w:t>Singapore (PDPA)</w:t>
      </w:r>
    </w:p>
    <w:p>
      <w:pPr>
        <w:pStyle w:val="ListBullet"/>
      </w:pPr>
      <w:r>
        <w:rPr>
          <w:sz w:val="22"/>
        </w:rPr>
        <w:t>Australia (Privacy Act 1988)</w:t>
      </w:r>
    </w:p>
    <w:p>
      <w:pPr>
        <w:pStyle w:val="ListBullet"/>
      </w:pPr>
      <w:r>
        <w:rPr>
          <w:sz w:val="22"/>
        </w:rPr>
        <w:t>Japan (APPI)</w:t>
      </w:r>
    </w:p>
    <w:p>
      <w:pPr>
        <w:pStyle w:val="ListBullet"/>
      </w:pPr>
      <w:r>
        <w:rPr>
          <w:sz w:val="22"/>
        </w:rPr>
        <w:t>Wider APAC per country taxonomy</w:t>
      </w:r>
    </w:p>
    <w:p>
      <w:r>
        <w:rPr>
          <w:rFonts w:ascii="Calibri" w:hAnsi="Calibri"/>
          <w:b/>
          <w:color w:val="1B1E2E"/>
          <w:sz w:val="26"/>
        </w:rPr>
        <w:t>How this is applied in-product</w:t>
      </w:r>
    </w:p>
    <w:p>
      <w:pPr>
        <w:pStyle w:val="ListBullet"/>
      </w:pPr>
      <w:r>
        <w:rPr>
          <w:sz w:val="22"/>
        </w:rPr>
        <w:t>Row Level Security on every public schema table</w:t>
      </w:r>
    </w:p>
    <w:p>
      <w:pPr>
        <w:pStyle w:val="ListBullet"/>
      </w:pPr>
      <w:r>
        <w:rPr>
          <w:sz w:val="22"/>
        </w:rPr>
        <w:t>Consent captured at signup and onboarding</w:t>
      </w:r>
    </w:p>
    <w:p>
      <w:pPr>
        <w:pStyle w:val="ListBullet"/>
      </w:pPr>
      <w:r>
        <w:rPr>
          <w:sz w:val="22"/>
        </w:rPr>
        <w:t>Privacy request intake at /privacy</w:t>
      </w:r>
    </w:p>
    <w:p>
      <w:pPr>
        <w:pStyle w:val="ListBullet"/>
      </w:pPr>
      <w:r>
        <w:rPr>
          <w:sz w:val="22"/>
        </w:rPr>
        <w:t>DPIA required before any new processing of special-category data</w:t>
      </w:r>
    </w:p>
    <w:p>
      <w:r>
        <w:rPr>
          <w:rFonts w:ascii="Calibri" w:hAnsi="Calibri"/>
          <w:b/>
          <w:color w:val="1B1E2E"/>
          <w:sz w:val="28"/>
        </w:rPr>
        <w:t>1. Lawful Bases</w:t>
      </w:r>
    </w:p>
    <w:p>
      <w:pPr>
        <w:pStyle w:val="ListBullet"/>
      </w:pPr>
      <w:r>
        <w:rPr>
          <w:sz w:val="22"/>
        </w:rPr>
        <w:t>Consent - marketing communications, optional analytics cookies.</w:t>
      </w:r>
    </w:p>
    <w:p>
      <w:pPr>
        <w:pStyle w:val="ListBullet"/>
      </w:pPr>
      <w:r>
        <w:rPr>
          <w:sz w:val="22"/>
        </w:rPr>
        <w:t>Contract - account provisioning, participation in donations, sponsorships and events.</w:t>
      </w:r>
    </w:p>
    <w:p>
      <w:pPr>
        <w:pStyle w:val="ListBullet"/>
      </w:pPr>
      <w:r>
        <w:rPr>
          <w:sz w:val="22"/>
        </w:rPr>
        <w:t>Legal obligation - tax reporting, AML/CTF record keeping.</w:t>
      </w:r>
    </w:p>
    <w:p>
      <w:pPr>
        <w:pStyle w:val="ListBullet"/>
      </w:pPr>
      <w:r>
        <w:rPr>
          <w:sz w:val="22"/>
        </w:rPr>
        <w:t>Legitimate interests - platform security, fraud prevention, service improvement (with balancing test recorded).</w:t>
      </w:r>
    </w:p>
    <w:p>
      <w:r>
        <w:rPr>
          <w:rFonts w:ascii="Calibri" w:hAnsi="Calibri"/>
          <w:b/>
          <w:color w:val="1B1E2E"/>
          <w:sz w:val="28"/>
        </w:rPr>
        <w:t>2. Data Minimisation</w:t>
      </w:r>
    </w:p>
    <w:p>
      <w:r>
        <w:rPr>
          <w:sz w:val="22"/>
        </w:rPr>
        <w:t>Only the fields necessary for the stated purpose are collected. Public artefacts such as ACDCs never contain personal data; they reference organisational identifiers only.</w:t>
      </w:r>
    </w:p>
    <w:p>
      <w:r>
        <w:rPr>
          <w:rFonts w:ascii="Calibri" w:hAnsi="Calibri"/>
          <w:b/>
          <w:color w:val="1B1E2E"/>
          <w:sz w:val="28"/>
        </w:rPr>
        <w:t>3. Cross-Border Transfers</w:t>
      </w:r>
    </w:p>
    <w:p>
      <w:pPr>
        <w:pStyle w:val="ListBullet"/>
      </w:pPr>
      <w:r>
        <w:rPr>
          <w:sz w:val="22"/>
        </w:rPr>
        <w:t>Transfers into and out of the EEA and UK rely on Standard Contractual Clauses plus a Transfer Impact Assessment.</w:t>
      </w:r>
    </w:p>
    <w:p>
      <w:pPr>
        <w:pStyle w:val="ListBullet"/>
      </w:pPr>
      <w:r>
        <w:rPr>
          <w:sz w:val="22"/>
        </w:rPr>
        <w:t>APAC transfers rely on the recipient country's adequacy status or contractual safeguards recognised by the source regulator.</w:t>
      </w:r>
    </w:p>
    <w:p>
      <w:pPr>
        <w:pStyle w:val="ListBullet"/>
      </w:pPr>
      <w:r>
        <w:rPr>
          <w:sz w:val="22"/>
        </w:rPr>
        <w:t>Hong Kong personal data is processed in accordance with PDPO s.33 principles.</w:t>
      </w:r>
    </w:p>
    <w:p>
      <w:r>
        <w:rPr>
          <w:rFonts w:ascii="Calibri" w:hAnsi="Calibri"/>
          <w:b/>
          <w:color w:val="1B1E2E"/>
          <w:sz w:val="28"/>
        </w:rPr>
        <w:t>4. Data Subject Rights</w:t>
      </w:r>
    </w:p>
    <w:p>
      <w:r>
        <w:rPr>
          <w:sz w:val="22"/>
        </w:rPr>
        <w:t>Access, rectification, erasure, restriction, portability and objection are honoured within statutory timescales (30 days GDPR, 40 days PDPO, 30 days PDPA). Requests are lodged at /privacy and tracked in the privacy_requests register.</w:t>
      </w:r>
    </w:p>
    <w:p>
      <w:r>
        <w:rPr>
          <w:rFonts w:ascii="Calibri" w:hAnsi="Calibri"/>
          <w:b/>
          <w:color w:val="1B1E2E"/>
          <w:sz w:val="28"/>
        </w:rPr>
        <w:t>5. Special-Category and Biometric Data</w:t>
      </w:r>
    </w:p>
    <w:p>
      <w:r>
        <w:rPr>
          <w:sz w:val="22"/>
        </w:rPr>
        <w:t>Not collected by default. Any proposal to introduce such processing triggers a mandatory DPIA and Board approval.</w:t>
      </w:r>
    </w:p>
    <w:p>
      <w:r>
        <w:rPr>
          <w:rFonts w:ascii="Calibri" w:hAnsi="Calibri"/>
          <w:b/>
          <w:color w:val="1B1E2E"/>
          <w:sz w:val="28"/>
        </w:rPr>
        <w:t>6. Vendors and Sub-processors</w:t>
      </w:r>
    </w:p>
    <w:p>
      <w:r>
        <w:rPr>
          <w:sz w:val="22"/>
        </w:rPr>
        <w:t>Maintained in a public sub-processor register with purpose, location and safeguards. See the Vendor &amp; Sub-processor Management Policy.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