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/>
          <w:b/>
          <w:color w:val="3D998A"/>
          <w:sz w:val="18"/>
        </w:rPr>
        <w:t>DATA &amp; PRIVACY</w:t>
      </w:r>
    </w:p>
    <w:p>
      <w:r>
        <w:rPr>
          <w:rFonts w:ascii="Calibri" w:hAnsi="Calibri"/>
          <w:b/>
          <w:color w:val="1B1E2E"/>
          <w:sz w:val="44"/>
        </w:rPr>
        <w:t>Cookies and Tracking Technologies Policy</w:t>
      </w:r>
    </w:p>
    <w:p>
      <w:r>
        <w:rPr>
          <w:i/>
          <w:sz w:val="22"/>
        </w:rPr>
        <w:t>Categories of cookies and similar technologies used across ImpactMiles surfaces, and how consent is obtained and recorded.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Domain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Data &amp; Privacy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Version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v1.0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Effective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Last reviewed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Next review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2027-07-19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Owner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Data Protection Officer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Approver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Executive Team</w:t>
            </w:r>
          </w:p>
        </w:tc>
      </w:tr>
    </w:tbl>
    <w:p/>
    <w:p>
      <w:r>
        <w:rPr>
          <w:rFonts w:ascii="Calibri" w:hAnsi="Calibri"/>
          <w:b/>
          <w:color w:val="1B1E2E"/>
          <w:sz w:val="26"/>
        </w:rPr>
        <w:t>Applies to</w:t>
      </w:r>
    </w:p>
    <w:p>
      <w:pPr>
        <w:pStyle w:val="ListBullet"/>
      </w:pPr>
      <w:r>
        <w:rPr>
          <w:sz w:val="22"/>
        </w:rPr>
        <w:t>Public site, portals and email pixels</w:t>
      </w:r>
    </w:p>
    <w:p>
      <w:r>
        <w:rPr>
          <w:rFonts w:ascii="Calibri" w:hAnsi="Calibri"/>
          <w:b/>
          <w:color w:val="1B1E2E"/>
          <w:sz w:val="26"/>
        </w:rPr>
        <w:t>Jurisdictions</w:t>
      </w:r>
    </w:p>
    <w:p>
      <w:pPr>
        <w:pStyle w:val="ListBullet"/>
      </w:pPr>
      <w:r>
        <w:rPr>
          <w:sz w:val="22"/>
        </w:rPr>
        <w:t>Hong Kong (PDPO, IRD s.88)</w:t>
      </w:r>
    </w:p>
    <w:p>
      <w:pPr>
        <w:pStyle w:val="ListBullet"/>
      </w:pPr>
      <w:r>
        <w:rPr>
          <w:sz w:val="22"/>
        </w:rPr>
        <w:t>United Kingdom (UK GDPR, DPA 2018)</w:t>
      </w:r>
    </w:p>
    <w:p>
      <w:pPr>
        <w:pStyle w:val="ListBullet"/>
      </w:pPr>
      <w:r>
        <w:rPr>
          <w:sz w:val="22"/>
        </w:rPr>
        <w:t>European Union (GDPR)</w:t>
      </w:r>
    </w:p>
    <w:p>
      <w:pPr>
        <w:pStyle w:val="ListBullet"/>
      </w:pPr>
      <w:r>
        <w:rPr>
          <w:sz w:val="22"/>
        </w:rPr>
        <w:t>Singapore (PDPA)</w:t>
      </w:r>
    </w:p>
    <w:p>
      <w:pPr>
        <w:pStyle w:val="ListBullet"/>
      </w:pPr>
      <w:r>
        <w:rPr>
          <w:sz w:val="22"/>
        </w:rPr>
        <w:t>Australia (Privacy Act 1988)</w:t>
      </w:r>
    </w:p>
    <w:p>
      <w:pPr>
        <w:pStyle w:val="ListBullet"/>
      </w:pPr>
      <w:r>
        <w:rPr>
          <w:sz w:val="22"/>
        </w:rPr>
        <w:t>Japan (APPI)</w:t>
      </w:r>
    </w:p>
    <w:p>
      <w:pPr>
        <w:pStyle w:val="ListBullet"/>
      </w:pPr>
      <w:r>
        <w:rPr>
          <w:sz w:val="22"/>
        </w:rPr>
        <w:t>Wider APAC per country taxonomy</w:t>
      </w:r>
    </w:p>
    <w:p>
      <w:r>
        <w:rPr>
          <w:rFonts w:ascii="Calibri" w:hAnsi="Calibri"/>
          <w:b/>
          <w:color w:val="1B1E2E"/>
          <w:sz w:val="26"/>
        </w:rPr>
        <w:t>How this is applied in-product</w:t>
      </w:r>
    </w:p>
    <w:p>
      <w:pPr>
        <w:pStyle w:val="ListBullet"/>
      </w:pPr>
      <w:r>
        <w:rPr>
          <w:sz w:val="22"/>
        </w:rPr>
        <w:t>Consent banner on public site</w:t>
      </w:r>
    </w:p>
    <w:p>
      <w:pPr>
        <w:pStyle w:val="ListBullet"/>
      </w:pPr>
      <w:r>
        <w:rPr>
          <w:sz w:val="22"/>
        </w:rPr>
        <w:t>Preference centre linked from footer</w:t>
      </w:r>
    </w:p>
    <w:p>
      <w:r>
        <w:rPr>
          <w:rFonts w:ascii="Calibri" w:hAnsi="Calibri"/>
          <w:b/>
          <w:color w:val="1B1E2E"/>
          <w:sz w:val="28"/>
        </w:rPr>
        <w:t>1. Categories</w:t>
      </w:r>
    </w:p>
    <w:p>
      <w:pPr>
        <w:pStyle w:val="ListBullet"/>
      </w:pPr>
      <w:r>
        <w:rPr>
          <w:sz w:val="22"/>
        </w:rPr>
        <w:t>Strictly necessary - session, CSRF, load balancing.</w:t>
      </w:r>
    </w:p>
    <w:p>
      <w:pPr>
        <w:pStyle w:val="ListBullet"/>
      </w:pPr>
      <w:r>
        <w:rPr>
          <w:sz w:val="22"/>
        </w:rPr>
        <w:t>Functional - language, theme, wallet PWA state.</w:t>
      </w:r>
    </w:p>
    <w:p>
      <w:pPr>
        <w:pStyle w:val="ListBullet"/>
      </w:pPr>
      <w:r>
        <w:rPr>
          <w:sz w:val="22"/>
        </w:rPr>
        <w:t>Analytics - aggregate usage measurement, only with consent.</w:t>
      </w:r>
    </w:p>
    <w:p>
      <w:pPr>
        <w:pStyle w:val="ListBullet"/>
      </w:pPr>
      <w:r>
        <w:rPr>
          <w:sz w:val="22"/>
        </w:rPr>
        <w:t>Marketing - none by default; any future use requires explicit opt-in.</w:t>
      </w:r>
    </w:p>
    <w:p>
      <w:r>
        <w:rPr>
          <w:rFonts w:ascii="Calibri" w:hAnsi="Calibri"/>
          <w:b/>
          <w:color w:val="1B1E2E"/>
          <w:sz w:val="28"/>
        </w:rPr>
        <w:t>2. Consent</w:t>
      </w:r>
    </w:p>
    <w:p>
      <w:r>
        <w:rPr>
          <w:sz w:val="22"/>
        </w:rPr>
        <w:t>Non-essential cookies are blocked until the user grants consent. Withdrawal is available at any time from the footer link.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