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r>
        <w:rPr>
          <w:rFonts w:ascii="Calibri" w:hAnsi="Calibri"/>
          <w:b/>
          <w:color w:val="3D998A"/>
          <w:sz w:val="18"/>
        </w:rPr>
        <w:t>GOVERNANCE</w:t>
      </w:r>
    </w:p>
    <w:p>
      <w:r>
        <w:rPr>
          <w:rFonts w:ascii="Calibri" w:hAnsi="Calibri"/>
          <w:b/>
          <w:color w:val="1B1E2E"/>
          <w:sz w:val="44"/>
        </w:rPr>
        <w:t>Code of Conduct and Ethics</w:t>
      </w:r>
    </w:p>
    <w:p>
      <w:r>
        <w:rPr>
          <w:i/>
          <w:sz w:val="22"/>
        </w:rPr>
        <w:t>Behavioural expectations for staff, contractors, partners and platform users.</w:t>
      </w:r>
    </w:p>
    <w:tbl>
      <w:tblPr>
        <w:tblW w:type="auto" w:w="0"/>
        <w:tblLayout w:type="autofit"/>
        <w:tblLook w:firstColumn="1" w:firstRow="1" w:lastColumn="0" w:lastRow="0" w:noHBand="0" w:noVBand="1" w:val="04A0"/>
      </w:tblPr>
      <w:tblGrid>
        <w:gridCol w:w="4680"/>
        <w:gridCol w:w="4680"/>
      </w:tblGrid>
      <w:tr>
        <w:tc>
          <w:tcPr>
            <w:tcW w:type="dxa" w:w="4680"/>
          </w:tcPr>
          <w:p>
            <w:r>
              <w:rPr>
                <w:b/>
                <w:color w:val="1B1E2E"/>
                <w:sz w:val="20"/>
              </w:rPr>
              <w:t>Domain</w:t>
            </w:r>
          </w:p>
        </w:tc>
        <w:tc>
          <w:tcPr>
            <w:tcW w:type="dxa" w:w="4680"/>
          </w:tcPr>
          <w:p>
            <w:r>
              <w:rPr>
                <w:sz w:val="20"/>
              </w:rPr>
              <w:t>Governance</w:t>
            </w:r>
          </w:p>
        </w:tc>
      </w:tr>
      <w:tr>
        <w:tc>
          <w:tcPr>
            <w:tcW w:type="dxa" w:w="4680"/>
          </w:tcPr>
          <w:p>
            <w:r>
              <w:rPr>
                <w:b/>
                <w:color w:val="1B1E2E"/>
                <w:sz w:val="20"/>
              </w:rPr>
              <w:t>Version</w:t>
            </w:r>
          </w:p>
        </w:tc>
        <w:tc>
          <w:tcPr>
            <w:tcW w:type="dxa" w:w="4680"/>
          </w:tcPr>
          <w:p>
            <w:r>
              <w:rPr>
                <w:sz w:val="20"/>
              </w:rPr>
              <w:t>v1.0</w:t>
            </w:r>
          </w:p>
        </w:tc>
      </w:tr>
      <w:tr>
        <w:tc>
          <w:tcPr>
            <w:tcW w:type="dxa" w:w="4680"/>
          </w:tcPr>
          <w:p>
            <w:r>
              <w:rPr>
                <w:b/>
                <w:color w:val="1B1E2E"/>
                <w:sz w:val="20"/>
              </w:rPr>
              <w:t>Effective</w:t>
            </w:r>
          </w:p>
        </w:tc>
        <w:tc>
          <w:tcPr>
            <w:tcW w:type="dxa" w:w="4680"/>
          </w:tcPr>
          <w:p>
            <w:r>
              <w:rPr>
                <w:sz w:val="20"/>
              </w:rPr>
              <w:t>2026-07-19</w:t>
            </w:r>
          </w:p>
        </w:tc>
      </w:tr>
      <w:tr>
        <w:tc>
          <w:tcPr>
            <w:tcW w:type="dxa" w:w="4680"/>
          </w:tcPr>
          <w:p>
            <w:r>
              <w:rPr>
                <w:b/>
                <w:color w:val="1B1E2E"/>
                <w:sz w:val="20"/>
              </w:rPr>
              <w:t>Last reviewed</w:t>
            </w:r>
          </w:p>
        </w:tc>
        <w:tc>
          <w:tcPr>
            <w:tcW w:type="dxa" w:w="4680"/>
          </w:tcPr>
          <w:p>
            <w:r>
              <w:rPr>
                <w:sz w:val="20"/>
              </w:rPr>
              <w:t>2026-07-19</w:t>
            </w:r>
          </w:p>
        </w:tc>
      </w:tr>
      <w:tr>
        <w:tc>
          <w:tcPr>
            <w:tcW w:type="dxa" w:w="4680"/>
          </w:tcPr>
          <w:p>
            <w:r>
              <w:rPr>
                <w:b/>
                <w:color w:val="1B1E2E"/>
                <w:sz w:val="20"/>
              </w:rPr>
              <w:t>Next review</w:t>
            </w:r>
          </w:p>
        </w:tc>
        <w:tc>
          <w:tcPr>
            <w:tcW w:type="dxa" w:w="4680"/>
          </w:tcPr>
          <w:p>
            <w:r>
              <w:rPr>
                <w:sz w:val="20"/>
              </w:rPr>
              <w:t>2027-07-19</w:t>
            </w:r>
          </w:p>
        </w:tc>
      </w:tr>
      <w:tr>
        <w:tc>
          <w:tcPr>
            <w:tcW w:type="dxa" w:w="4680"/>
          </w:tcPr>
          <w:p>
            <w:r>
              <w:rPr>
                <w:b/>
                <w:color w:val="1B1E2E"/>
                <w:sz w:val="20"/>
              </w:rPr>
              <w:t>Owner</w:t>
            </w:r>
          </w:p>
        </w:tc>
        <w:tc>
          <w:tcPr>
            <w:tcW w:type="dxa" w:w="4680"/>
          </w:tcPr>
          <w:p>
            <w:r>
              <w:rPr>
                <w:sz w:val="20"/>
              </w:rPr>
              <w:t>Ethics Committee</w:t>
            </w:r>
          </w:p>
        </w:tc>
      </w:tr>
      <w:tr>
        <w:tc>
          <w:tcPr>
            <w:tcW w:type="dxa" w:w="4680"/>
          </w:tcPr>
          <w:p>
            <w:r>
              <w:rPr>
                <w:b/>
                <w:color w:val="1B1E2E"/>
                <w:sz w:val="20"/>
              </w:rPr>
              <w:t>Approver</w:t>
            </w:r>
          </w:p>
        </w:tc>
        <w:tc>
          <w:tcPr>
            <w:tcW w:type="dxa" w:w="4680"/>
          </w:tcPr>
          <w:p>
            <w:r>
              <w:rPr>
                <w:sz w:val="20"/>
              </w:rPr>
              <w:t>Board of Trustees</w:t>
            </w:r>
          </w:p>
        </w:tc>
      </w:tr>
    </w:tbl>
    <w:p/>
    <w:p>
      <w:r>
        <w:rPr>
          <w:rFonts w:ascii="Calibri" w:hAnsi="Calibri"/>
          <w:b/>
          <w:color w:val="1B1E2E"/>
          <w:sz w:val="26"/>
        </w:rPr>
        <w:t>Applies to</w:t>
      </w:r>
    </w:p>
    <w:p>
      <w:pPr>
        <w:pStyle w:val="ListBullet"/>
      </w:pPr>
      <w:r>
        <w:rPr>
          <w:sz w:val="22"/>
        </w:rPr>
        <w:t>All ImpactMiles participants</w:t>
      </w:r>
    </w:p>
    <w:p>
      <w:r>
        <w:rPr>
          <w:rFonts w:ascii="Calibri" w:hAnsi="Calibri"/>
          <w:b/>
          <w:color w:val="1B1E2E"/>
          <w:sz w:val="26"/>
        </w:rPr>
        <w:t>Jurisdictions</w:t>
      </w:r>
    </w:p>
    <w:p>
      <w:pPr>
        <w:pStyle w:val="ListBullet"/>
      </w:pPr>
      <w:r>
        <w:rPr>
          <w:sz w:val="22"/>
        </w:rPr>
        <w:t>Hong Kong (PDPO, IRD s.88)</w:t>
      </w:r>
    </w:p>
    <w:p>
      <w:pPr>
        <w:pStyle w:val="ListBullet"/>
      </w:pPr>
      <w:r>
        <w:rPr>
          <w:sz w:val="22"/>
        </w:rPr>
        <w:t>United Kingdom (UK GDPR, DPA 2018)</w:t>
      </w:r>
    </w:p>
    <w:p>
      <w:pPr>
        <w:pStyle w:val="ListBullet"/>
      </w:pPr>
      <w:r>
        <w:rPr>
          <w:sz w:val="22"/>
        </w:rPr>
        <w:t>European Union (GDPR)</w:t>
      </w:r>
    </w:p>
    <w:p>
      <w:pPr>
        <w:pStyle w:val="ListBullet"/>
      </w:pPr>
      <w:r>
        <w:rPr>
          <w:sz w:val="22"/>
        </w:rPr>
        <w:t>Singapore (PDPA)</w:t>
      </w:r>
    </w:p>
    <w:p>
      <w:pPr>
        <w:pStyle w:val="ListBullet"/>
      </w:pPr>
      <w:r>
        <w:rPr>
          <w:sz w:val="22"/>
        </w:rPr>
        <w:t>Australia (Privacy Act 1988)</w:t>
      </w:r>
    </w:p>
    <w:p>
      <w:pPr>
        <w:pStyle w:val="ListBullet"/>
      </w:pPr>
      <w:r>
        <w:rPr>
          <w:sz w:val="22"/>
        </w:rPr>
        <w:t>Japan (APPI)</w:t>
      </w:r>
    </w:p>
    <w:p>
      <w:pPr>
        <w:pStyle w:val="ListBullet"/>
      </w:pPr>
      <w:r>
        <w:rPr>
          <w:sz w:val="22"/>
        </w:rPr>
        <w:t>Wider APAC per country taxonomy</w:t>
      </w:r>
    </w:p>
    <w:p>
      <w:r>
        <w:rPr>
          <w:rFonts w:ascii="Calibri" w:hAnsi="Calibri"/>
          <w:b/>
          <w:color w:val="1B1E2E"/>
          <w:sz w:val="26"/>
        </w:rPr>
        <w:t>How this is applied in-product</w:t>
      </w:r>
    </w:p>
    <w:p>
      <w:pPr>
        <w:pStyle w:val="ListBullet"/>
      </w:pPr>
      <w:r>
        <w:rPr>
          <w:sz w:val="22"/>
        </w:rPr>
        <w:t>Acceptance at signup and staff onboarding</w:t>
      </w:r>
    </w:p>
    <w:p>
      <w:pPr>
        <w:pStyle w:val="ListBullet"/>
      </w:pPr>
      <w:r>
        <w:rPr>
          <w:sz w:val="22"/>
        </w:rPr>
        <w:t>Grounds for suspension or termination on breach</w:t>
      </w:r>
    </w:p>
    <w:p>
      <w:r>
        <w:rPr>
          <w:rFonts w:ascii="Calibri" w:hAnsi="Calibri"/>
          <w:b/>
          <w:color w:val="1B1E2E"/>
          <w:sz w:val="28"/>
        </w:rPr>
        <w:t>1. Core Principles</w:t>
      </w:r>
    </w:p>
    <w:p>
      <w:pPr>
        <w:pStyle w:val="ListBullet"/>
      </w:pPr>
      <w:r>
        <w:rPr>
          <w:sz w:val="22"/>
        </w:rPr>
        <w:t>Integrity - do not misrepresent impact or identity.</w:t>
      </w:r>
    </w:p>
    <w:p>
      <w:pPr>
        <w:pStyle w:val="ListBullet"/>
      </w:pPr>
      <w:r>
        <w:rPr>
          <w:sz w:val="22"/>
        </w:rPr>
        <w:t>Respect - no harassment, discrimination or hate speech.</w:t>
      </w:r>
    </w:p>
    <w:p>
      <w:pPr>
        <w:pStyle w:val="ListBullet"/>
      </w:pPr>
      <w:r>
        <w:rPr>
          <w:sz w:val="22"/>
        </w:rPr>
        <w:t>Transparency - disclose conflicts of interest and material relationships.</w:t>
      </w:r>
    </w:p>
    <w:p>
      <w:pPr>
        <w:pStyle w:val="ListBullet"/>
      </w:pPr>
      <w:r>
        <w:rPr>
          <w:sz w:val="22"/>
        </w:rPr>
        <w:t>Stewardship - protect participant safety and donor trust.</w:t>
      </w:r>
    </w:p>
    <w:p>
      <w:r>
        <w:rPr>
          <w:rFonts w:ascii="Calibri" w:hAnsi="Calibri"/>
          <w:b/>
          <w:color w:val="1B1E2E"/>
          <w:sz w:val="28"/>
        </w:rPr>
        <w:t>2. Reporting</w:t>
      </w:r>
    </w:p>
    <w:p>
      <w:r>
        <w:rPr>
          <w:sz w:val="22"/>
        </w:rPr>
        <w:t>Concerns can be raised confidentially to the Ethics Committee. Retaliation against good-faith reporters is itself a breach of this Code.</w:t>
      </w:r>
    </w:p>
    <w:sectPr w:rsidR="00FC693F" w:rsidRPr="0006063C" w:rsidSect="0003461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