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PLATFORM OPERATIONS</w:t>
      </w:r>
    </w:p>
    <w:p>
      <w:r>
        <w:rPr>
          <w:rFonts w:ascii="Calibri" w:hAnsi="Calibri"/>
          <w:b/>
          <w:color w:val="1B1E2E"/>
          <w:sz w:val="44"/>
        </w:rPr>
        <w:t>Change Management and SLA Policy</w:t>
      </w:r>
    </w:p>
    <w:p>
      <w:r>
        <w:rPr>
          <w:i/>
          <w:sz w:val="22"/>
        </w:rPr>
        <w:t>How changes to the platform are proposed, reviewed, deployed and communicated, and the service levels users can expect.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Platform Operations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CTO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Executive Team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production changes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Peer-reviewed migrations for every schema change</w:t>
      </w:r>
    </w:p>
    <w:p>
      <w:pPr>
        <w:pStyle w:val="ListBullet"/>
      </w:pPr>
      <w:r>
        <w:rPr>
          <w:sz w:val="22"/>
        </w:rPr>
        <w:t>GRANT + RLS + policy required for every new public table</w:t>
      </w:r>
    </w:p>
    <w:p>
      <w:pPr>
        <w:pStyle w:val="ListBullet"/>
      </w:pPr>
      <w:r>
        <w:rPr>
          <w:sz w:val="22"/>
        </w:rPr>
        <w:t>Feature flags for staged rollout</w:t>
      </w:r>
    </w:p>
    <w:p>
      <w:r>
        <w:rPr>
          <w:rFonts w:ascii="Calibri" w:hAnsi="Calibri"/>
          <w:b/>
          <w:color w:val="1B1E2E"/>
          <w:sz w:val="28"/>
        </w:rPr>
        <w:t>1. Change Types</w:t>
      </w:r>
    </w:p>
    <w:p>
      <w:pPr>
        <w:pStyle w:val="ListBullet"/>
      </w:pPr>
      <w:r>
        <w:rPr>
          <w:sz w:val="22"/>
        </w:rPr>
        <w:t>Standard - pre-approved, low risk, deployable on demand.</w:t>
      </w:r>
    </w:p>
    <w:p>
      <w:pPr>
        <w:pStyle w:val="ListBullet"/>
      </w:pPr>
      <w:r>
        <w:rPr>
          <w:sz w:val="22"/>
        </w:rPr>
        <w:t>Normal - reviewed by CAB equivalent (Executive + Trust Committee where relevant).</w:t>
      </w:r>
    </w:p>
    <w:p>
      <w:pPr>
        <w:pStyle w:val="ListBullet"/>
      </w:pPr>
      <w:r>
        <w:rPr>
          <w:sz w:val="22"/>
        </w:rPr>
        <w:t>Emergency - expedited path with post-hoc review.</w:t>
      </w:r>
    </w:p>
    <w:p>
      <w:r>
        <w:rPr>
          <w:rFonts w:ascii="Calibri" w:hAnsi="Calibri"/>
          <w:b/>
          <w:color w:val="1B1E2E"/>
          <w:sz w:val="28"/>
        </w:rPr>
        <w:t>2. Service Levels</w:t>
      </w:r>
    </w:p>
    <w:p>
      <w:pPr>
        <w:pStyle w:val="ListBullet"/>
      </w:pPr>
      <w:r>
        <w:rPr>
          <w:sz w:val="22"/>
        </w:rPr>
        <w:t>Target uptime: 99.9% monthly for public verification endpoints.</w:t>
      </w:r>
    </w:p>
    <w:p>
      <w:pPr>
        <w:pStyle w:val="ListBullet"/>
      </w:pPr>
      <w:r>
        <w:rPr>
          <w:sz w:val="22"/>
        </w:rPr>
        <w:t>Support acknowledgement: 1 business day.</w:t>
      </w:r>
    </w:p>
    <w:p>
      <w:pPr>
        <w:pStyle w:val="ListBullet"/>
      </w:pPr>
      <w:r>
        <w:rPr>
          <w:sz w:val="22"/>
        </w:rPr>
        <w:t>Privacy request completion: within statutory deadlines.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