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PLATFORM OPERATIONS</w:t>
      </w:r>
    </w:p>
    <w:p>
      <w:r>
        <w:rPr>
          <w:rFonts w:ascii="Calibri" w:hAnsi="Calibri"/>
          <w:b/>
          <w:color w:val="1B1E2E"/>
          <w:sz w:val="44"/>
        </w:rPr>
        <w:t>Business Continuity and Exit Strategy Policy</w:t>
      </w:r>
    </w:p>
    <w:p>
      <w:r>
        <w:rPr>
          <w:i/>
          <w:sz w:val="22"/>
        </w:rPr>
        <w:t>Continuity planning beyond incident response, plus data portability and orderly exit for users if ImpactMiles winds down a service or the entity.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Platform Operations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CTO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Directors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production services and data</w:t>
      </w:r>
    </w:p>
    <w:p>
      <w:pPr>
        <w:pStyle w:val="ListBullet"/>
      </w:pPr>
      <w:r>
        <w:rPr>
          <w:sz w:val="22"/>
        </w:rPr>
        <w:t>All user accounts and their credentials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Backup and disaster-recovery drills at least annually</w:t>
      </w:r>
    </w:p>
    <w:p>
      <w:pPr>
        <w:pStyle w:val="ListBullet"/>
      </w:pPr>
      <w:r>
        <w:rPr>
          <w:sz w:val="22"/>
        </w:rPr>
        <w:t>Export endpoints for participant, charity and corporate data</w:t>
      </w:r>
    </w:p>
    <w:p>
      <w:pPr>
        <w:pStyle w:val="ListBullet"/>
      </w:pPr>
      <w:r>
        <w:rPr>
          <w:sz w:val="22"/>
        </w:rPr>
        <w:t>Escrow of TrustMark verification specification</w:t>
      </w:r>
    </w:p>
    <w:p>
      <w:r>
        <w:rPr>
          <w:rFonts w:ascii="Calibri" w:hAnsi="Calibri"/>
          <w:b/>
          <w:color w:val="1B1E2E"/>
          <w:sz w:val="28"/>
        </w:rPr>
        <w:t>1. Business Continuity</w:t>
      </w:r>
    </w:p>
    <w:p>
      <w:pPr>
        <w:pStyle w:val="ListBullet"/>
      </w:pPr>
      <w:r>
        <w:rPr>
          <w:sz w:val="22"/>
        </w:rPr>
        <w:t>Documented BCP for critical services (verification API, TAS operations, database).</w:t>
      </w:r>
    </w:p>
    <w:p>
      <w:pPr>
        <w:pStyle w:val="ListBullet"/>
      </w:pPr>
      <w:r>
        <w:rPr>
          <w:sz w:val="22"/>
        </w:rPr>
        <w:t>Recovery Time Objective 4 hours, Recovery Point Objective 15 minutes for the primary database.</w:t>
      </w:r>
    </w:p>
    <w:p>
      <w:pPr>
        <w:pStyle w:val="ListBullet"/>
      </w:pPr>
      <w:r>
        <w:rPr>
          <w:sz w:val="22"/>
        </w:rPr>
        <w:t>Annual continuity exercise and tabletop review.</w:t>
      </w:r>
    </w:p>
    <w:p>
      <w:r>
        <w:rPr>
          <w:rFonts w:ascii="Calibri" w:hAnsi="Calibri"/>
          <w:b/>
          <w:color w:val="1B1E2E"/>
          <w:sz w:val="28"/>
        </w:rPr>
        <w:t>2. Disaster Recovery</w:t>
      </w:r>
    </w:p>
    <w:p>
      <w:pPr>
        <w:pStyle w:val="ListBullet"/>
      </w:pPr>
      <w:r>
        <w:rPr>
          <w:sz w:val="22"/>
        </w:rPr>
        <w:t>Cross-region encrypted backups.</w:t>
      </w:r>
    </w:p>
    <w:p>
      <w:pPr>
        <w:pStyle w:val="ListBullet"/>
      </w:pPr>
      <w:r>
        <w:rPr>
          <w:sz w:val="22"/>
        </w:rPr>
        <w:t>Alternate hosting readiness for the verification API.</w:t>
      </w:r>
    </w:p>
    <w:p>
      <w:pPr>
        <w:pStyle w:val="ListBullet"/>
      </w:pPr>
      <w:r>
        <w:rPr>
          <w:sz w:val="22"/>
        </w:rPr>
        <w:t>Runbooks for key rotation, database restore and TAS failover.</w:t>
      </w:r>
    </w:p>
    <w:p>
      <w:r>
        <w:rPr>
          <w:rFonts w:ascii="Calibri" w:hAnsi="Calibri"/>
          <w:b/>
          <w:color w:val="1B1E2E"/>
          <w:sz w:val="28"/>
        </w:rPr>
        <w:t>3. Data Portability and Exit Rights</w:t>
      </w:r>
    </w:p>
    <w:p>
      <w:pPr>
        <w:pStyle w:val="ListBullet"/>
      </w:pPr>
      <w:r>
        <w:rPr>
          <w:sz w:val="22"/>
        </w:rPr>
        <w:t>Users may export their profile, activity history and credentials at any time via /my-provenance.</w:t>
      </w:r>
    </w:p>
    <w:p>
      <w:pPr>
        <w:pStyle w:val="ListBullet"/>
      </w:pPr>
      <w:r>
        <w:rPr>
          <w:sz w:val="22"/>
        </w:rPr>
        <w:t>Charities and corporates may export their organisation records and issued credentials.</w:t>
      </w:r>
    </w:p>
    <w:p>
      <w:pPr>
        <w:pStyle w:val="ListBullet"/>
      </w:pPr>
      <w:r>
        <w:rPr>
          <w:sz w:val="22"/>
        </w:rPr>
        <w:t>Machine-readable JSON is provided for all exports.</w:t>
      </w:r>
    </w:p>
    <w:p>
      <w:r>
        <w:rPr>
          <w:rFonts w:ascii="Calibri" w:hAnsi="Calibri"/>
          <w:b/>
          <w:color w:val="1B1E2E"/>
          <w:sz w:val="28"/>
        </w:rPr>
        <w:t>4. Service or Entity Wind-Down</w:t>
      </w:r>
    </w:p>
    <w:p>
      <w:pPr>
        <w:pStyle w:val="ListBullet"/>
      </w:pPr>
      <w:r>
        <w:rPr>
          <w:sz w:val="22"/>
        </w:rPr>
        <w:t>Minimum 90 days' notice before discontinuing a core service where practicable.</w:t>
      </w:r>
    </w:p>
    <w:p>
      <w:pPr>
        <w:pStyle w:val="ListBullet"/>
      </w:pPr>
      <w:r>
        <w:rPr>
          <w:sz w:val="22"/>
        </w:rPr>
        <w:t>TrustMark verification specification and public credential registry preserved through a nominated custodian.</w:t>
      </w:r>
    </w:p>
    <w:p>
      <w:pPr>
        <w:pStyle w:val="ListBullet"/>
      </w:pPr>
      <w:r>
        <w:rPr>
          <w:sz w:val="22"/>
        </w:rPr>
        <w:t>Deletion or handover of personal data in accordance with the Data Retention and Deletion Schedule.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