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Audit, Reporting and Transparency Policy</w:t>
      </w:r>
    </w:p>
    <w:p>
      <w:r>
        <w:rPr>
          <w:i/>
          <w:sz w:val="22"/>
        </w:rPr>
        <w:t>Requirements for external audit, public reporting, governance-effectiveness metrics and whistleblower protection.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CFO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Audit and Risk Committee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Financial statements and fee accounting</w:t>
      </w:r>
    </w:p>
    <w:p>
      <w:pPr>
        <w:pStyle w:val="ListBullet"/>
      </w:pPr>
      <w:r>
        <w:rPr>
          <w:sz w:val="22"/>
        </w:rPr>
        <w:t>IMI methodology and impact reporting</w:t>
      </w:r>
    </w:p>
    <w:p>
      <w:pPr>
        <w:pStyle w:val="ListBullet"/>
      </w:pPr>
      <w:r>
        <w:rPr>
          <w:sz w:val="22"/>
        </w:rPr>
        <w:t>Governance and compliance operations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Annual external financial audit engagement</w:t>
      </w:r>
    </w:p>
    <w:p>
      <w:pPr>
        <w:pStyle w:val="ListBullet"/>
      </w:pPr>
      <w:r>
        <w:rPr>
          <w:sz w:val="22"/>
        </w:rPr>
        <w:t>Public Transparency Report at least annually</w:t>
      </w:r>
    </w:p>
    <w:p>
      <w:pPr>
        <w:pStyle w:val="ListBullet"/>
      </w:pPr>
      <w:r>
        <w:rPr>
          <w:sz w:val="22"/>
        </w:rPr>
        <w:t>Whistleblower channel operated by the Ethics and Compliance Committee</w:t>
      </w:r>
    </w:p>
    <w:p>
      <w:pPr>
        <w:pStyle w:val="ListBullet"/>
      </w:pPr>
      <w:r>
        <w:rPr>
          <w:sz w:val="22"/>
        </w:rPr>
        <w:t>Audit chain and admin provenance surfaced in /admin/provenance</w:t>
      </w:r>
    </w:p>
    <w:p>
      <w:r>
        <w:rPr>
          <w:rFonts w:ascii="Calibri" w:hAnsi="Calibri"/>
          <w:b/>
          <w:color w:val="1B1E2E"/>
          <w:sz w:val="28"/>
        </w:rPr>
        <w:t>1. External Audit</w:t>
      </w:r>
    </w:p>
    <w:p>
      <w:pPr>
        <w:pStyle w:val="ListBullet"/>
      </w:pPr>
      <w:r>
        <w:rPr>
          <w:sz w:val="22"/>
        </w:rPr>
        <w:t>Annual independent audit of financial statements by a qualified Hong Kong firm.</w:t>
      </w:r>
    </w:p>
    <w:p>
      <w:pPr>
        <w:pStyle w:val="ListBullet"/>
      </w:pPr>
      <w:r>
        <w:rPr>
          <w:sz w:val="22"/>
        </w:rPr>
        <w:t>Independent review of fee accounting and disbursement.</w:t>
      </w:r>
    </w:p>
    <w:p>
      <w:pPr>
        <w:pStyle w:val="ListBullet"/>
      </w:pPr>
      <w:r>
        <w:rPr>
          <w:sz w:val="22"/>
        </w:rPr>
        <w:t>Periodic (at least biennial) third-party review of IMI methodology and TrustMark issuance controls.</w:t>
      </w:r>
    </w:p>
    <w:p>
      <w:r>
        <w:rPr>
          <w:rFonts w:ascii="Calibri" w:hAnsi="Calibri"/>
          <w:b/>
          <w:color w:val="1B1E2E"/>
          <w:sz w:val="28"/>
        </w:rPr>
        <w:t>2. Public Reporting</w:t>
      </w:r>
    </w:p>
    <w:p>
      <w:pPr>
        <w:pStyle w:val="ListBullet"/>
      </w:pPr>
      <w:r>
        <w:rPr>
          <w:sz w:val="22"/>
        </w:rPr>
        <w:t>Annual Transparency Report covering IMI performance, verified action volume, complaints and outcomes, sub-processor changes and material incidents.</w:t>
      </w:r>
    </w:p>
    <w:p>
      <w:pPr>
        <w:pStyle w:val="ListBullet"/>
      </w:pPr>
      <w:r>
        <w:rPr>
          <w:sz w:val="22"/>
        </w:rPr>
        <w:t>Quarterly headline metrics published on the public site.</w:t>
      </w:r>
    </w:p>
    <w:p>
      <w:pPr>
        <w:pStyle w:val="ListBullet"/>
      </w:pPr>
      <w:r>
        <w:rPr>
          <w:sz w:val="22"/>
        </w:rPr>
        <w:t>Every material policy change announced with an effective date and rationale.</w:t>
      </w:r>
    </w:p>
    <w:p>
      <w:r>
        <w:rPr>
          <w:rFonts w:ascii="Calibri" w:hAnsi="Calibri"/>
          <w:b/>
          <w:color w:val="1B1E2E"/>
          <w:sz w:val="28"/>
        </w:rPr>
        <w:t>3. Governance Effectiveness Metrics</w:t>
      </w:r>
    </w:p>
    <w:p>
      <w:pPr>
        <w:pStyle w:val="ListBullet"/>
      </w:pPr>
      <w:r>
        <w:rPr>
          <w:sz w:val="22"/>
        </w:rPr>
        <w:t>Policy review currency (percentage of policies reviewed within the last 12 months).</w:t>
      </w:r>
    </w:p>
    <w:p>
      <w:pPr>
        <w:pStyle w:val="ListBullet"/>
      </w:pPr>
      <w:r>
        <w:rPr>
          <w:sz w:val="22"/>
        </w:rPr>
        <w:t>Time-to-resolve for complaints and disputes.</w:t>
      </w:r>
    </w:p>
    <w:p>
      <w:pPr>
        <w:pStyle w:val="ListBullet"/>
      </w:pPr>
      <w:r>
        <w:rPr>
          <w:sz w:val="22"/>
        </w:rPr>
        <w:t>Verification decision quality (overturned appeals rate).</w:t>
      </w:r>
    </w:p>
    <w:p>
      <w:pPr>
        <w:pStyle w:val="ListBullet"/>
      </w:pPr>
      <w:r>
        <w:rPr>
          <w:sz w:val="22"/>
        </w:rPr>
        <w:t>Incident MTTA and MTTR.</w:t>
      </w:r>
    </w:p>
    <w:p>
      <w:r>
        <w:rPr>
          <w:rFonts w:ascii="Calibri" w:hAnsi="Calibri"/>
          <w:b/>
          <w:color w:val="1B1E2E"/>
          <w:sz w:val="28"/>
        </w:rPr>
        <w:t>4. Whistleblower Protection</w:t>
      </w:r>
    </w:p>
    <w:p>
      <w:r>
        <w:rPr>
          <w:sz w:val="22"/>
        </w:rPr>
        <w:t>Confidential intake, protection from retaliation, and independent handling by the Ethics and Compliance Committee, escalating to the Audit and Risk Committee where financial integrity is implicated.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