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FINANCIAL &amp; ANTI-FRAUD</w:t>
      </w:r>
    </w:p>
    <w:p>
      <w:r>
        <w:rPr>
          <w:rFonts w:ascii="Calibri" w:hAnsi="Calibri"/>
          <w:b/>
          <w:color w:val="1B1E2E"/>
          <w:sz w:val="44"/>
        </w:rPr>
        <w:t>Anti-Money-Laundering and Counter-Terrorism Financing Policy</w:t>
      </w:r>
    </w:p>
    <w:p>
      <w:r>
        <w:rPr>
          <w:i/>
          <w:sz w:val="22"/>
        </w:rPr>
        <w:t>Risk-based controls to prevent misuse of the ImpactMiles platform for money laundering or terrorism financing.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Financial &amp; Anti-Fraud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Compliance Lead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Board of Trustees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Sponsor and Charity organisations</w:t>
      </w:r>
    </w:p>
    <w:p>
      <w:pPr>
        <w:pStyle w:val="ListBullet"/>
      </w:pPr>
      <w:r>
        <w:rPr>
          <w:sz w:val="22"/>
        </w:rPr>
        <w:t>All donation and sponsorship flows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Veraf.ai KYB and AML checks triggered from the admin verifications console</w:t>
      </w:r>
    </w:p>
    <w:p>
      <w:pPr>
        <w:pStyle w:val="ListBullet"/>
      </w:pPr>
      <w:r>
        <w:rPr>
          <w:sz w:val="22"/>
        </w:rPr>
        <w:t>Risk score persisted on the organisation profile</w:t>
      </w:r>
    </w:p>
    <w:p>
      <w:pPr>
        <w:pStyle w:val="ListBullet"/>
      </w:pPr>
      <w:r>
        <w:rPr>
          <w:sz w:val="22"/>
        </w:rPr>
        <w:t>Onboarding blocked from progression until mandatory evidence is captured</w:t>
      </w:r>
    </w:p>
    <w:p>
      <w:r>
        <w:rPr>
          <w:rFonts w:ascii="Calibri" w:hAnsi="Calibri"/>
          <w:b/>
          <w:color w:val="1B1E2E"/>
          <w:sz w:val="28"/>
        </w:rPr>
        <w:t>1. Customer Due Diligence</w:t>
      </w:r>
    </w:p>
    <w:p>
      <w:pPr>
        <w:pStyle w:val="ListBullet"/>
      </w:pPr>
      <w:r>
        <w:rPr>
          <w:sz w:val="22"/>
        </w:rPr>
        <w:t>Standard due diligence for all onboarded organisations via Veraf.ai.</w:t>
      </w:r>
    </w:p>
    <w:p>
      <w:pPr>
        <w:pStyle w:val="ListBullet"/>
      </w:pPr>
      <w:r>
        <w:rPr>
          <w:sz w:val="22"/>
        </w:rPr>
        <w:t>Enhanced due diligence for organisations in higher-risk jurisdictions, higher-risk sectors, or with PEP linkage.</w:t>
      </w:r>
    </w:p>
    <w:p>
      <w:pPr>
        <w:pStyle w:val="ListBullet"/>
      </w:pPr>
      <w:r>
        <w:rPr>
          <w:sz w:val="22"/>
        </w:rPr>
        <w:t>Ongoing monitoring with periodic re-screening.</w:t>
      </w:r>
    </w:p>
    <w:p>
      <w:r>
        <w:rPr>
          <w:rFonts w:ascii="Calibri" w:hAnsi="Calibri"/>
          <w:b/>
          <w:color w:val="1B1E2E"/>
          <w:sz w:val="28"/>
        </w:rPr>
        <w:t>2. Transaction Monitoring</w:t>
      </w:r>
    </w:p>
    <w:p>
      <w:pPr>
        <w:pStyle w:val="ListBullet"/>
      </w:pPr>
      <w:r>
        <w:rPr>
          <w:sz w:val="22"/>
        </w:rPr>
        <w:t>Threshold and pattern rules applied to donation and sponsorship flows.</w:t>
      </w:r>
    </w:p>
    <w:p>
      <w:pPr>
        <w:pStyle w:val="ListBullet"/>
      </w:pPr>
      <w:r>
        <w:rPr>
          <w:sz w:val="22"/>
        </w:rPr>
        <w:t>Suspicious Activity Reports lodged with the relevant Financial Intelligence Unit as required by law.</w:t>
      </w:r>
    </w:p>
    <w:p>
      <w:pPr>
        <w:pStyle w:val="ListBullet"/>
      </w:pPr>
      <w:r>
        <w:rPr>
          <w:sz w:val="22"/>
        </w:rPr>
        <w:t>Records retained for 5 years.</w:t>
      </w:r>
    </w:p>
    <w:p>
      <w:r>
        <w:rPr>
          <w:rFonts w:ascii="Calibri" w:hAnsi="Calibri"/>
          <w:b/>
          <w:color w:val="1B1E2E"/>
          <w:sz w:val="28"/>
        </w:rPr>
        <w:t>3. Sanctions</w:t>
      </w:r>
    </w:p>
    <w:p>
      <w:r>
        <w:rPr>
          <w:sz w:val="22"/>
        </w:rPr>
        <w:t>Organisations are screened against UN, EU, UK, US OFAC and HKMA sanctions lists. Positive matches block onboarding pending manual review.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